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A8948" w14:textId="01F176C3" w:rsidR="00F77A7C" w:rsidRDefault="00F77A7C" w:rsidP="00F77A7C">
      <w:pPr>
        <w:pStyle w:val="Heading2"/>
      </w:pPr>
      <w:r w:rsidRPr="00BE3BCF">
        <w:t>Job description and person spec</w:t>
      </w:r>
      <w:r>
        <w:t>ification</w:t>
      </w:r>
      <w:r w:rsidRPr="00BE3BCF">
        <w:t xml:space="preserve">, </w:t>
      </w:r>
      <w:r>
        <w:t>Fundraising Lead</w:t>
      </w:r>
    </w:p>
    <w:p w14:paraId="342484DC" w14:textId="77777777" w:rsidR="00F77A7C" w:rsidRPr="006F7AD0" w:rsidRDefault="00F77A7C" w:rsidP="00F77A7C">
      <w:pPr>
        <w:spacing w:after="300" w:line="270" w:lineRule="atLeast"/>
        <w:rPr>
          <w:rFonts w:eastAsia="Times New Roman"/>
          <w:color w:val="000000"/>
          <w:sz w:val="22"/>
          <w:szCs w:val="22"/>
        </w:rPr>
      </w:pPr>
      <w:r w:rsidRPr="006F7AD0">
        <w:rPr>
          <w:rFonts w:eastAsia="Times New Roman"/>
          <w:b/>
          <w:color w:val="000000"/>
          <w:sz w:val="22"/>
          <w:szCs w:val="22"/>
        </w:rPr>
        <w:t>Reports to:</w:t>
      </w:r>
      <w:r w:rsidRPr="006F7AD0">
        <w:rPr>
          <w:rFonts w:eastAsia="Times New Roman"/>
          <w:color w:val="000000"/>
          <w:sz w:val="22"/>
          <w:szCs w:val="22"/>
        </w:rPr>
        <w:t xml:space="preserve"> </w:t>
      </w:r>
      <w:r w:rsidRPr="006F7AD0">
        <w:rPr>
          <w:rFonts w:eastAsia="Times New Roman"/>
          <w:color w:val="000000"/>
          <w:sz w:val="22"/>
          <w:szCs w:val="22"/>
        </w:rPr>
        <w:tab/>
      </w:r>
      <w:r w:rsidRPr="006F7AD0">
        <w:rPr>
          <w:rFonts w:eastAsia="Times New Roman"/>
          <w:color w:val="000000"/>
          <w:sz w:val="22"/>
          <w:szCs w:val="22"/>
        </w:rPr>
        <w:tab/>
        <w:t>Chief Executive</w:t>
      </w:r>
    </w:p>
    <w:p w14:paraId="61DC0170" w14:textId="503021D8" w:rsidR="004056F8" w:rsidRPr="006F7AD0" w:rsidRDefault="00F77A7C" w:rsidP="00F77A7C">
      <w:pPr>
        <w:spacing w:after="300" w:line="270" w:lineRule="atLeast"/>
        <w:rPr>
          <w:rFonts w:eastAsia="Times New Roman"/>
          <w:color w:val="000000"/>
          <w:sz w:val="22"/>
          <w:szCs w:val="22"/>
        </w:rPr>
      </w:pPr>
      <w:r w:rsidRPr="006F7AD0">
        <w:rPr>
          <w:rFonts w:eastAsia="Times New Roman"/>
          <w:b/>
          <w:color w:val="000000"/>
          <w:sz w:val="22"/>
          <w:szCs w:val="22"/>
        </w:rPr>
        <w:t>Hours of work:</w:t>
      </w:r>
      <w:r w:rsidRPr="006F7AD0">
        <w:rPr>
          <w:rFonts w:eastAsia="Times New Roman"/>
          <w:color w:val="000000"/>
          <w:sz w:val="22"/>
          <w:szCs w:val="22"/>
        </w:rPr>
        <w:tab/>
      </w:r>
      <w:r w:rsidR="004056F8">
        <w:rPr>
          <w:rFonts w:eastAsia="Times New Roman"/>
          <w:color w:val="000000"/>
          <w:sz w:val="22"/>
          <w:szCs w:val="22"/>
        </w:rPr>
        <w:t>35 hours per week</w:t>
      </w:r>
      <w:r w:rsidRPr="006F7AD0">
        <w:rPr>
          <w:rFonts w:eastAsia="Times New Roman"/>
          <w:color w:val="000000"/>
          <w:sz w:val="22"/>
          <w:szCs w:val="22"/>
        </w:rPr>
        <w:t>, flexible arrangements possible</w:t>
      </w:r>
    </w:p>
    <w:p w14:paraId="26B5E0E4" w14:textId="443DD9C1" w:rsidR="00F77A7C" w:rsidRPr="006F7AD0" w:rsidRDefault="00F77A7C" w:rsidP="00F77A7C">
      <w:pPr>
        <w:spacing w:after="300" w:line="270" w:lineRule="atLeast"/>
        <w:rPr>
          <w:rFonts w:eastAsia="Times New Roman"/>
          <w:color w:val="000000"/>
          <w:sz w:val="22"/>
          <w:szCs w:val="22"/>
        </w:rPr>
      </w:pPr>
      <w:r w:rsidRPr="006F7AD0">
        <w:rPr>
          <w:rFonts w:eastAsia="Times New Roman"/>
          <w:b/>
          <w:color w:val="000000"/>
          <w:sz w:val="22"/>
          <w:szCs w:val="22"/>
        </w:rPr>
        <w:t>Location:</w:t>
      </w:r>
      <w:r w:rsidRPr="006F7AD0">
        <w:rPr>
          <w:rFonts w:eastAsia="Times New Roman"/>
          <w:color w:val="000000"/>
          <w:sz w:val="22"/>
          <w:szCs w:val="22"/>
        </w:rPr>
        <w:tab/>
      </w:r>
      <w:r w:rsidRPr="006F7AD0">
        <w:rPr>
          <w:rFonts w:eastAsia="Times New Roman"/>
          <w:color w:val="000000"/>
          <w:sz w:val="22"/>
          <w:szCs w:val="22"/>
        </w:rPr>
        <w:tab/>
      </w:r>
      <w:r w:rsidR="00F22953" w:rsidRPr="006F7AD0">
        <w:rPr>
          <w:sz w:val="22"/>
          <w:szCs w:val="22"/>
        </w:rPr>
        <w:t>Home based, with some travel within the UK</w:t>
      </w:r>
    </w:p>
    <w:p w14:paraId="2A813FA7" w14:textId="62C1DC17" w:rsidR="00F77A7C" w:rsidRPr="006F7AD0" w:rsidRDefault="00F77A7C" w:rsidP="00F77A7C">
      <w:pPr>
        <w:spacing w:after="300" w:line="270" w:lineRule="atLeast"/>
        <w:rPr>
          <w:rFonts w:eastAsia="Times New Roman"/>
          <w:color w:val="000000"/>
          <w:sz w:val="22"/>
          <w:szCs w:val="22"/>
        </w:rPr>
      </w:pPr>
      <w:r w:rsidRPr="006F7AD0">
        <w:rPr>
          <w:rFonts w:eastAsia="Times New Roman"/>
          <w:b/>
          <w:bCs/>
          <w:color w:val="000000"/>
          <w:sz w:val="22"/>
          <w:szCs w:val="22"/>
        </w:rPr>
        <w:t>Salary:</w:t>
      </w:r>
      <w:r w:rsidRPr="006F7AD0">
        <w:rPr>
          <w:rFonts w:eastAsia="Times New Roman"/>
          <w:color w:val="000000"/>
          <w:sz w:val="22"/>
          <w:szCs w:val="22"/>
        </w:rPr>
        <w:tab/>
      </w:r>
      <w:r w:rsidRPr="006F7AD0">
        <w:rPr>
          <w:rFonts w:eastAsia="Times New Roman"/>
          <w:color w:val="000000"/>
          <w:sz w:val="22"/>
          <w:szCs w:val="22"/>
        </w:rPr>
        <w:tab/>
        <w:t>£42,000</w:t>
      </w:r>
    </w:p>
    <w:p w14:paraId="3B73C5AE" w14:textId="77777777" w:rsidR="00F77A7C" w:rsidRPr="006F7AD0" w:rsidRDefault="00F77A7C" w:rsidP="00F77A7C">
      <w:pPr>
        <w:spacing w:after="300" w:line="270" w:lineRule="atLeast"/>
        <w:ind w:left="2160" w:hanging="2160"/>
        <w:rPr>
          <w:rFonts w:eastAsia="Times New Roman"/>
          <w:color w:val="000000"/>
          <w:sz w:val="22"/>
          <w:szCs w:val="22"/>
        </w:rPr>
      </w:pPr>
      <w:r w:rsidRPr="006F7AD0">
        <w:rPr>
          <w:rFonts w:eastAsia="Times New Roman"/>
          <w:b/>
          <w:bCs/>
          <w:color w:val="000000"/>
          <w:sz w:val="22"/>
          <w:szCs w:val="22"/>
        </w:rPr>
        <w:t>Pension:</w:t>
      </w:r>
      <w:r w:rsidRPr="006F7AD0">
        <w:rPr>
          <w:rFonts w:eastAsia="Times New Roman"/>
          <w:color w:val="000000"/>
          <w:sz w:val="22"/>
          <w:szCs w:val="22"/>
        </w:rPr>
        <w:t xml:space="preserve"> </w:t>
      </w:r>
      <w:r w:rsidRPr="006F7AD0">
        <w:rPr>
          <w:rFonts w:eastAsia="Times New Roman"/>
          <w:color w:val="000000"/>
          <w:sz w:val="22"/>
          <w:szCs w:val="22"/>
        </w:rPr>
        <w:tab/>
      </w:r>
      <w:bookmarkStart w:id="0" w:name="_Hlk113898747"/>
      <w:r w:rsidRPr="006F7AD0">
        <w:rPr>
          <w:rFonts w:eastAsia="Times New Roman"/>
          <w:color w:val="000000"/>
          <w:sz w:val="22"/>
          <w:szCs w:val="22"/>
        </w:rPr>
        <w:t>Group Flexible Retirement Plan with employee contribution depending on pension regulations (from end of probation period)</w:t>
      </w:r>
    </w:p>
    <w:bookmarkEnd w:id="0"/>
    <w:p w14:paraId="63738025" w14:textId="45C5B74E" w:rsidR="00F77A7C" w:rsidRPr="006F7AD0" w:rsidRDefault="00F77A7C" w:rsidP="00454481">
      <w:pPr>
        <w:spacing w:after="300" w:line="270" w:lineRule="atLeast"/>
        <w:ind w:left="2160" w:hanging="2160"/>
        <w:rPr>
          <w:rFonts w:eastAsia="Times New Roman"/>
          <w:color w:val="000000"/>
          <w:sz w:val="22"/>
          <w:szCs w:val="22"/>
        </w:rPr>
      </w:pPr>
      <w:r w:rsidRPr="006F7AD0">
        <w:rPr>
          <w:rFonts w:eastAsia="Times New Roman"/>
          <w:b/>
          <w:color w:val="000000"/>
          <w:sz w:val="22"/>
          <w:szCs w:val="22"/>
        </w:rPr>
        <w:t>Holiday:</w:t>
      </w:r>
      <w:r w:rsidRPr="006F7AD0">
        <w:rPr>
          <w:rFonts w:eastAsia="Times New Roman"/>
          <w:color w:val="000000"/>
          <w:sz w:val="22"/>
          <w:szCs w:val="22"/>
        </w:rPr>
        <w:t xml:space="preserve"> </w:t>
      </w:r>
      <w:r w:rsidRPr="006F7AD0">
        <w:rPr>
          <w:rFonts w:eastAsia="Times New Roman"/>
          <w:color w:val="000000"/>
          <w:sz w:val="22"/>
          <w:szCs w:val="22"/>
        </w:rPr>
        <w:tab/>
        <w:t>25 days annual leave, plus 8 bank holidays</w:t>
      </w:r>
      <w:r w:rsidR="002B7034" w:rsidRPr="006F7AD0">
        <w:rPr>
          <w:rFonts w:eastAsia="Times New Roman"/>
          <w:color w:val="000000"/>
          <w:sz w:val="22"/>
          <w:szCs w:val="22"/>
        </w:rPr>
        <w:t xml:space="preserve"> and </w:t>
      </w:r>
      <w:r w:rsidR="007F1086" w:rsidRPr="006F7AD0">
        <w:rPr>
          <w:rFonts w:eastAsia="Times New Roman"/>
          <w:color w:val="000000"/>
          <w:sz w:val="22"/>
          <w:szCs w:val="22"/>
        </w:rPr>
        <w:t xml:space="preserve">the </w:t>
      </w:r>
      <w:r w:rsidR="002B7034" w:rsidRPr="006F7AD0">
        <w:rPr>
          <w:rFonts w:eastAsia="Times New Roman"/>
          <w:color w:val="000000"/>
          <w:sz w:val="22"/>
          <w:szCs w:val="22"/>
        </w:rPr>
        <w:t xml:space="preserve">working days </w:t>
      </w:r>
      <w:r w:rsidR="007F1086" w:rsidRPr="006F7AD0">
        <w:rPr>
          <w:rFonts w:eastAsia="Times New Roman"/>
          <w:color w:val="000000"/>
          <w:sz w:val="22"/>
          <w:szCs w:val="22"/>
        </w:rPr>
        <w:t xml:space="preserve">that fall </w:t>
      </w:r>
      <w:r w:rsidR="002B7034" w:rsidRPr="006F7AD0">
        <w:rPr>
          <w:rFonts w:eastAsia="Times New Roman"/>
          <w:color w:val="000000"/>
          <w:sz w:val="22"/>
          <w:szCs w:val="22"/>
        </w:rPr>
        <w:t>between Christmas and New Year</w:t>
      </w:r>
      <w:r w:rsidR="00454481">
        <w:rPr>
          <w:rFonts w:eastAsia="Times New Roman"/>
          <w:color w:val="000000"/>
          <w:sz w:val="22"/>
          <w:szCs w:val="22"/>
        </w:rPr>
        <w:t xml:space="preserve"> </w:t>
      </w:r>
      <w:r w:rsidRPr="006F7AD0">
        <w:rPr>
          <w:rFonts w:eastAsia="Times New Roman"/>
          <w:color w:val="000000"/>
          <w:sz w:val="22"/>
          <w:szCs w:val="22"/>
        </w:rPr>
        <w:t>(pro rata)</w:t>
      </w:r>
    </w:p>
    <w:p w14:paraId="610806C6" w14:textId="395EAD09" w:rsidR="00F77A7C" w:rsidRPr="006F7AD0" w:rsidRDefault="00F77A7C" w:rsidP="00F77A7C">
      <w:pPr>
        <w:spacing w:after="300" w:line="270" w:lineRule="atLeast"/>
        <w:rPr>
          <w:rFonts w:eastAsia="Times New Roman"/>
          <w:color w:val="000000"/>
          <w:sz w:val="22"/>
          <w:szCs w:val="22"/>
        </w:rPr>
      </w:pPr>
      <w:r w:rsidRPr="006F7AD0">
        <w:rPr>
          <w:rFonts w:eastAsia="Times New Roman"/>
          <w:b/>
          <w:color w:val="000000"/>
          <w:sz w:val="22"/>
          <w:szCs w:val="22"/>
        </w:rPr>
        <w:t>Notice period:</w:t>
      </w:r>
      <w:r w:rsidRPr="006F7AD0">
        <w:rPr>
          <w:rFonts w:eastAsia="Times New Roman"/>
          <w:color w:val="000000"/>
          <w:sz w:val="22"/>
          <w:szCs w:val="22"/>
        </w:rPr>
        <w:t xml:space="preserve"> </w:t>
      </w:r>
      <w:r w:rsidRPr="006F7AD0">
        <w:rPr>
          <w:rFonts w:eastAsia="Times New Roman"/>
          <w:color w:val="000000"/>
          <w:sz w:val="22"/>
          <w:szCs w:val="22"/>
        </w:rPr>
        <w:tab/>
      </w:r>
      <w:r w:rsidR="00D5609A">
        <w:rPr>
          <w:rFonts w:eastAsia="Times New Roman"/>
          <w:color w:val="000000"/>
          <w:sz w:val="22"/>
          <w:szCs w:val="22"/>
        </w:rPr>
        <w:t>Three months</w:t>
      </w:r>
    </w:p>
    <w:p w14:paraId="0BF8B306" w14:textId="63CA4189" w:rsidR="00F77A7C" w:rsidRPr="006F7AD0" w:rsidRDefault="00F77A7C" w:rsidP="00F77A7C">
      <w:pPr>
        <w:spacing w:after="300" w:line="270" w:lineRule="atLeast"/>
        <w:rPr>
          <w:rFonts w:eastAsia="Times New Roman"/>
          <w:color w:val="000000"/>
          <w:sz w:val="22"/>
          <w:szCs w:val="22"/>
        </w:rPr>
      </w:pPr>
      <w:r w:rsidRPr="006F7AD0">
        <w:rPr>
          <w:rFonts w:eastAsia="Times New Roman"/>
          <w:b/>
          <w:color w:val="000000"/>
          <w:sz w:val="22"/>
          <w:szCs w:val="22"/>
        </w:rPr>
        <w:t>Contract length:</w:t>
      </w:r>
      <w:r w:rsidRPr="006F7AD0">
        <w:rPr>
          <w:rFonts w:eastAsia="Times New Roman"/>
          <w:color w:val="000000"/>
          <w:sz w:val="22"/>
          <w:szCs w:val="22"/>
        </w:rPr>
        <w:t xml:space="preserve"> </w:t>
      </w:r>
      <w:r w:rsidRPr="006F7AD0">
        <w:rPr>
          <w:rFonts w:eastAsia="Times New Roman"/>
          <w:color w:val="000000"/>
          <w:sz w:val="22"/>
          <w:szCs w:val="22"/>
        </w:rPr>
        <w:tab/>
      </w:r>
      <w:bookmarkStart w:id="1" w:name="_Hlk113898718"/>
      <w:r w:rsidR="004056F8">
        <w:rPr>
          <w:rFonts w:eastAsia="Times New Roman"/>
          <w:color w:val="000000"/>
          <w:sz w:val="22"/>
          <w:szCs w:val="22"/>
        </w:rPr>
        <w:t>Permanent</w:t>
      </w:r>
    </w:p>
    <w:bookmarkEnd w:id="1"/>
    <w:p w14:paraId="5EF89F88" w14:textId="77777777" w:rsidR="00F77A7C" w:rsidRPr="006F7AD0" w:rsidRDefault="00F77A7C" w:rsidP="00F77A7C">
      <w:pPr>
        <w:spacing w:after="300" w:line="270" w:lineRule="atLeast"/>
        <w:rPr>
          <w:rFonts w:eastAsia="Times New Roman"/>
          <w:color w:val="000000"/>
          <w:sz w:val="22"/>
          <w:szCs w:val="22"/>
        </w:rPr>
      </w:pPr>
      <w:r w:rsidRPr="006F7AD0">
        <w:rPr>
          <w:rFonts w:eastAsia="Times New Roman"/>
          <w:b/>
          <w:color w:val="000000"/>
          <w:sz w:val="22"/>
          <w:szCs w:val="22"/>
        </w:rPr>
        <w:t>Start date:</w:t>
      </w:r>
      <w:r w:rsidRPr="006F7AD0">
        <w:rPr>
          <w:rFonts w:eastAsia="Times New Roman"/>
          <w:color w:val="000000"/>
          <w:sz w:val="22"/>
          <w:szCs w:val="22"/>
        </w:rPr>
        <w:t xml:space="preserve"> </w:t>
      </w:r>
      <w:r w:rsidRPr="006F7AD0">
        <w:rPr>
          <w:rFonts w:eastAsia="Times New Roman"/>
          <w:color w:val="000000"/>
          <w:sz w:val="22"/>
          <w:szCs w:val="22"/>
        </w:rPr>
        <w:tab/>
      </w:r>
      <w:r w:rsidRPr="006F7AD0">
        <w:rPr>
          <w:rFonts w:eastAsia="Times New Roman"/>
          <w:color w:val="000000"/>
          <w:sz w:val="22"/>
          <w:szCs w:val="22"/>
        </w:rPr>
        <w:tab/>
        <w:t>Immediate</w:t>
      </w:r>
    </w:p>
    <w:p w14:paraId="24DE846C" w14:textId="5617EF5A" w:rsidR="00F77A7C" w:rsidRPr="006F7AD0" w:rsidRDefault="00F77A7C" w:rsidP="00F77A7C">
      <w:pPr>
        <w:pStyle w:val="Heading3"/>
        <w:rPr>
          <w:sz w:val="22"/>
          <w:szCs w:val="22"/>
        </w:rPr>
      </w:pPr>
      <w:r w:rsidRPr="006F7AD0">
        <w:rPr>
          <w:sz w:val="22"/>
          <w:szCs w:val="22"/>
        </w:rPr>
        <w:t>The role of Fundraising Lead</w:t>
      </w:r>
    </w:p>
    <w:p w14:paraId="078AEBD9" w14:textId="41196BB8" w:rsidR="00F77A7C" w:rsidRDefault="00F77A7C" w:rsidP="00F77A7C">
      <w:pPr>
        <w:spacing w:after="300" w:line="270" w:lineRule="atLeast"/>
        <w:rPr>
          <w:rFonts w:eastAsia="Times New Roman"/>
          <w:bCs/>
          <w:sz w:val="22"/>
          <w:szCs w:val="22"/>
        </w:rPr>
      </w:pPr>
      <w:r w:rsidRPr="006F7AD0">
        <w:rPr>
          <w:rFonts w:eastAsia="Times New Roman"/>
          <w:bCs/>
          <w:color w:val="000000"/>
          <w:sz w:val="22"/>
          <w:szCs w:val="22"/>
        </w:rPr>
        <w:t>We a</w:t>
      </w:r>
      <w:r w:rsidR="00105F32">
        <w:rPr>
          <w:rFonts w:eastAsia="Times New Roman"/>
          <w:bCs/>
          <w:color w:val="000000"/>
          <w:sz w:val="22"/>
          <w:szCs w:val="22"/>
        </w:rPr>
        <w:t>re</w:t>
      </w:r>
      <w:r w:rsidRPr="006F7AD0">
        <w:rPr>
          <w:rFonts w:eastAsia="Times New Roman"/>
          <w:bCs/>
          <w:color w:val="000000"/>
          <w:sz w:val="22"/>
          <w:szCs w:val="22"/>
        </w:rPr>
        <w:t xml:space="preserve"> looking for a highly experienced</w:t>
      </w:r>
      <w:r w:rsidRPr="005E4BDF">
        <w:rPr>
          <w:rFonts w:eastAsia="Times New Roman"/>
          <w:bCs/>
          <w:sz w:val="22"/>
          <w:szCs w:val="22"/>
        </w:rPr>
        <w:t xml:space="preserve">, confident and capable Fundraising Lead to </w:t>
      </w:r>
      <w:r w:rsidR="00454481" w:rsidRPr="005E4BDF">
        <w:rPr>
          <w:rFonts w:eastAsia="Times New Roman"/>
          <w:bCs/>
          <w:sz w:val="22"/>
          <w:szCs w:val="22"/>
        </w:rPr>
        <w:t>guide our fundraising and income generation</w:t>
      </w:r>
      <w:r w:rsidRPr="005E4BDF">
        <w:rPr>
          <w:rFonts w:eastAsia="Times New Roman"/>
          <w:bCs/>
          <w:sz w:val="22"/>
          <w:szCs w:val="22"/>
        </w:rPr>
        <w:t>.</w:t>
      </w:r>
    </w:p>
    <w:p w14:paraId="074650B5" w14:textId="6715353A" w:rsidR="004056F8" w:rsidRPr="005E4BDF" w:rsidRDefault="004056F8" w:rsidP="00F77A7C">
      <w:pPr>
        <w:spacing w:after="300" w:line="270" w:lineRule="atLeast"/>
        <w:rPr>
          <w:rFonts w:eastAsia="Times New Roman"/>
          <w:bCs/>
          <w:sz w:val="22"/>
          <w:szCs w:val="22"/>
        </w:rPr>
      </w:pPr>
      <w:r>
        <w:rPr>
          <w:rFonts w:eastAsia="Times New Roman"/>
          <w:bCs/>
          <w:sz w:val="22"/>
          <w:szCs w:val="22"/>
        </w:rPr>
        <w:t>This is an opportunity to develop a fundraising strategy and team your way, from the ground-up, for a vital rare disease charity.</w:t>
      </w:r>
    </w:p>
    <w:p w14:paraId="6D1E8D5D" w14:textId="29DB1AEE" w:rsidR="00454481" w:rsidRPr="005E4BDF" w:rsidRDefault="00F77A7C" w:rsidP="00F77A7C">
      <w:pPr>
        <w:spacing w:after="300" w:line="270" w:lineRule="atLeast"/>
        <w:rPr>
          <w:rFonts w:eastAsia="Times New Roman"/>
          <w:bCs/>
          <w:sz w:val="22"/>
          <w:szCs w:val="22"/>
        </w:rPr>
      </w:pPr>
      <w:r w:rsidRPr="005E4BDF">
        <w:rPr>
          <w:rFonts w:eastAsia="Times New Roman"/>
          <w:bCs/>
          <w:sz w:val="22"/>
          <w:szCs w:val="22"/>
        </w:rPr>
        <w:t>The chosen candidate will be expected to make an immediate impact on the income generation of the charity.</w:t>
      </w:r>
      <w:r w:rsidR="00454481" w:rsidRPr="005E4BDF">
        <w:rPr>
          <w:rFonts w:eastAsia="Times New Roman"/>
          <w:bCs/>
          <w:sz w:val="22"/>
          <w:szCs w:val="22"/>
        </w:rPr>
        <w:t xml:space="preserve"> You should have a deep-rooted knowledge and background of community fundraising, as well as trusts and foundations.</w:t>
      </w:r>
      <w:r w:rsidRPr="005E4BDF">
        <w:rPr>
          <w:rFonts w:eastAsia="Times New Roman"/>
          <w:bCs/>
          <w:sz w:val="22"/>
          <w:szCs w:val="22"/>
        </w:rPr>
        <w:t xml:space="preserve"> </w:t>
      </w:r>
      <w:r w:rsidR="00454481" w:rsidRPr="005E4BDF">
        <w:rPr>
          <w:rFonts w:eastAsia="Times New Roman"/>
          <w:bCs/>
          <w:sz w:val="22"/>
          <w:szCs w:val="22"/>
        </w:rPr>
        <w:t>This is an exciting time to join a resurgent TSA team, with ambitious plans for the future.</w:t>
      </w:r>
    </w:p>
    <w:p w14:paraId="77868852" w14:textId="5206E225" w:rsidR="00F77A7C" w:rsidRPr="005E4BDF" w:rsidRDefault="00F77A7C" w:rsidP="00F77A7C">
      <w:pPr>
        <w:spacing w:after="300" w:line="270" w:lineRule="atLeast"/>
        <w:rPr>
          <w:rFonts w:eastAsia="Times New Roman"/>
          <w:bCs/>
          <w:sz w:val="22"/>
          <w:szCs w:val="22"/>
        </w:rPr>
      </w:pPr>
      <w:r w:rsidRPr="005E4BDF">
        <w:rPr>
          <w:rFonts w:eastAsia="Times New Roman"/>
          <w:bCs/>
          <w:sz w:val="22"/>
          <w:szCs w:val="22"/>
        </w:rPr>
        <w:lastRenderedPageBreak/>
        <w:t>In return, the candidate can expect a</w:t>
      </w:r>
      <w:r w:rsidR="00454481" w:rsidRPr="005E4BDF">
        <w:rPr>
          <w:rFonts w:eastAsia="Times New Roman"/>
          <w:bCs/>
          <w:sz w:val="22"/>
          <w:szCs w:val="22"/>
        </w:rPr>
        <w:t xml:space="preserve"> competitive salary,</w:t>
      </w:r>
      <w:r w:rsidRPr="005E4BDF">
        <w:rPr>
          <w:rFonts w:eastAsia="Times New Roman"/>
          <w:bCs/>
          <w:sz w:val="22"/>
          <w:szCs w:val="22"/>
        </w:rPr>
        <w:t xml:space="preserve"> high level of autonomy, a fluid team structure, and very flexible home working.</w:t>
      </w:r>
    </w:p>
    <w:p w14:paraId="7F289D3C" w14:textId="77777777" w:rsidR="00F77A7C" w:rsidRPr="005E4BDF" w:rsidRDefault="00F77A7C" w:rsidP="00F77A7C">
      <w:pPr>
        <w:spacing w:after="300" w:line="270" w:lineRule="atLeast"/>
        <w:rPr>
          <w:rFonts w:eastAsia="Times New Roman"/>
          <w:bCs/>
          <w:sz w:val="22"/>
          <w:szCs w:val="22"/>
        </w:rPr>
      </w:pPr>
      <w:r w:rsidRPr="005E4BDF">
        <w:rPr>
          <w:rFonts w:eastAsia="Times New Roman"/>
          <w:bCs/>
          <w:sz w:val="22"/>
          <w:szCs w:val="22"/>
        </w:rPr>
        <w:t>The chosen candidate will ensure that:</w:t>
      </w:r>
    </w:p>
    <w:p w14:paraId="5424F2EB" w14:textId="23496087" w:rsidR="00F77A7C" w:rsidRPr="005E4BDF" w:rsidRDefault="00454481" w:rsidP="00F77A7C">
      <w:pPr>
        <w:pStyle w:val="ListParagraph"/>
        <w:numPr>
          <w:ilvl w:val="0"/>
          <w:numId w:val="2"/>
        </w:numPr>
        <w:spacing w:after="300" w:line="270" w:lineRule="atLeast"/>
        <w:rPr>
          <w:rFonts w:eastAsia="Times New Roman"/>
          <w:bCs/>
          <w:sz w:val="22"/>
          <w:szCs w:val="22"/>
        </w:rPr>
      </w:pPr>
      <w:r>
        <w:rPr>
          <w:rFonts w:eastAsia="Times New Roman"/>
          <w:bCs/>
          <w:color w:val="000000"/>
          <w:sz w:val="22"/>
          <w:szCs w:val="22"/>
        </w:rPr>
        <w:t>They lead on c</w:t>
      </w:r>
      <w:r w:rsidR="00F77A7C" w:rsidRPr="006F7AD0">
        <w:rPr>
          <w:rFonts w:eastAsia="Times New Roman"/>
          <w:bCs/>
          <w:color w:val="000000"/>
          <w:sz w:val="22"/>
          <w:szCs w:val="22"/>
        </w:rPr>
        <w:t>ommunity fundraising</w:t>
      </w:r>
      <w:r w:rsidR="00530906">
        <w:rPr>
          <w:rFonts w:eastAsia="Times New Roman"/>
          <w:bCs/>
          <w:color w:val="000000"/>
          <w:sz w:val="22"/>
          <w:szCs w:val="22"/>
        </w:rPr>
        <w:t xml:space="preserve"> that</w:t>
      </w:r>
      <w:r w:rsidR="00F77A7C" w:rsidRPr="006F7AD0">
        <w:rPr>
          <w:rFonts w:eastAsia="Times New Roman"/>
          <w:bCs/>
          <w:color w:val="000000"/>
          <w:sz w:val="22"/>
          <w:szCs w:val="22"/>
        </w:rPr>
        <w:t xml:space="preserve"> </w:t>
      </w:r>
      <w:r>
        <w:rPr>
          <w:rFonts w:eastAsia="Times New Roman"/>
          <w:bCs/>
          <w:color w:val="000000"/>
          <w:sz w:val="22"/>
          <w:szCs w:val="22"/>
        </w:rPr>
        <w:t xml:space="preserve">is </w:t>
      </w:r>
      <w:r w:rsidR="00F77A7C" w:rsidRPr="006F7AD0">
        <w:rPr>
          <w:rFonts w:eastAsia="Times New Roman"/>
          <w:bCs/>
          <w:color w:val="000000"/>
          <w:sz w:val="22"/>
          <w:szCs w:val="22"/>
        </w:rPr>
        <w:t xml:space="preserve">robust and ongoing – including liaising </w:t>
      </w:r>
      <w:r>
        <w:rPr>
          <w:rFonts w:eastAsia="Times New Roman"/>
          <w:bCs/>
          <w:color w:val="000000"/>
          <w:sz w:val="22"/>
          <w:szCs w:val="22"/>
        </w:rPr>
        <w:t xml:space="preserve">with </w:t>
      </w:r>
      <w:r w:rsidR="00F77A7C" w:rsidRPr="006F7AD0">
        <w:rPr>
          <w:rFonts w:eastAsia="Times New Roman"/>
          <w:bCs/>
          <w:color w:val="000000"/>
          <w:sz w:val="22"/>
          <w:szCs w:val="22"/>
        </w:rPr>
        <w:t xml:space="preserve">and management of our </w:t>
      </w:r>
      <w:r w:rsidR="00F77A7C" w:rsidRPr="005E4BDF">
        <w:rPr>
          <w:rFonts w:eastAsia="Times New Roman"/>
          <w:bCs/>
          <w:sz w:val="22"/>
          <w:szCs w:val="22"/>
        </w:rPr>
        <w:t>fundraisers</w:t>
      </w:r>
      <w:r w:rsidRPr="005E4BDF">
        <w:rPr>
          <w:rFonts w:eastAsia="Times New Roman"/>
          <w:bCs/>
          <w:sz w:val="22"/>
          <w:szCs w:val="22"/>
        </w:rPr>
        <w:t>. You will be expected to develop new ideas, as well as grow existing projects</w:t>
      </w:r>
    </w:p>
    <w:p w14:paraId="2887FF68" w14:textId="0BE2AE2C" w:rsidR="00F77A7C" w:rsidRPr="005E4BDF" w:rsidRDefault="00F77A7C" w:rsidP="00F77A7C">
      <w:pPr>
        <w:pStyle w:val="ListParagraph"/>
        <w:numPr>
          <w:ilvl w:val="0"/>
          <w:numId w:val="2"/>
        </w:numPr>
        <w:spacing w:after="300" w:line="270" w:lineRule="atLeast"/>
        <w:rPr>
          <w:rFonts w:eastAsia="Times New Roman"/>
          <w:bCs/>
          <w:sz w:val="22"/>
          <w:szCs w:val="22"/>
        </w:rPr>
      </w:pPr>
      <w:r w:rsidRPr="005E4BDF">
        <w:rPr>
          <w:rFonts w:eastAsia="Times New Roman"/>
          <w:bCs/>
          <w:sz w:val="22"/>
          <w:szCs w:val="22"/>
        </w:rPr>
        <w:t>Applications to trusts and foundations continue to be submitted</w:t>
      </w:r>
      <w:r w:rsidR="00454481" w:rsidRPr="005E4BDF">
        <w:rPr>
          <w:rFonts w:eastAsia="Times New Roman"/>
          <w:bCs/>
          <w:sz w:val="22"/>
          <w:szCs w:val="22"/>
        </w:rPr>
        <w:t>, with a high level of success expected</w:t>
      </w:r>
      <w:r w:rsidR="00530906">
        <w:rPr>
          <w:rFonts w:eastAsia="Times New Roman"/>
          <w:bCs/>
          <w:sz w:val="22"/>
          <w:szCs w:val="22"/>
        </w:rPr>
        <w:t xml:space="preserve"> </w:t>
      </w:r>
      <w:r w:rsidR="00530906" w:rsidRPr="00530906">
        <w:rPr>
          <w:rFonts w:eastAsia="Times New Roman"/>
          <w:bCs/>
          <w:sz w:val="22"/>
          <w:szCs w:val="22"/>
        </w:rPr>
        <w:t>in this vital income stream</w:t>
      </w:r>
    </w:p>
    <w:p w14:paraId="045E110D" w14:textId="39A30424" w:rsidR="00F77A7C" w:rsidRPr="006F7AD0" w:rsidRDefault="00454481" w:rsidP="00F77A7C">
      <w:pPr>
        <w:pStyle w:val="ListParagraph"/>
        <w:numPr>
          <w:ilvl w:val="0"/>
          <w:numId w:val="2"/>
        </w:numPr>
        <w:spacing w:after="300" w:line="270" w:lineRule="atLeast"/>
        <w:rPr>
          <w:rFonts w:eastAsia="Times New Roman"/>
          <w:bCs/>
          <w:color w:val="000000"/>
          <w:sz w:val="22"/>
          <w:szCs w:val="22"/>
        </w:rPr>
      </w:pPr>
      <w:r w:rsidRPr="005E4BDF">
        <w:rPr>
          <w:rFonts w:eastAsia="Times New Roman"/>
          <w:bCs/>
          <w:sz w:val="22"/>
          <w:szCs w:val="22"/>
        </w:rPr>
        <w:t xml:space="preserve">They guide the </w:t>
      </w:r>
      <w:r w:rsidR="00F77A7C" w:rsidRPr="005E4BDF">
        <w:rPr>
          <w:rFonts w:eastAsia="Times New Roman"/>
          <w:bCs/>
          <w:sz w:val="22"/>
          <w:szCs w:val="22"/>
        </w:rPr>
        <w:t xml:space="preserve">charity </w:t>
      </w:r>
      <w:r w:rsidRPr="005E4BDF">
        <w:rPr>
          <w:rFonts w:eastAsia="Times New Roman"/>
          <w:bCs/>
          <w:sz w:val="22"/>
          <w:szCs w:val="22"/>
        </w:rPr>
        <w:t xml:space="preserve">in continuing with </w:t>
      </w:r>
      <w:r w:rsidR="00F77A7C" w:rsidRPr="005E4BDF">
        <w:rPr>
          <w:rFonts w:eastAsia="Times New Roman"/>
          <w:bCs/>
          <w:sz w:val="22"/>
          <w:szCs w:val="22"/>
        </w:rPr>
        <w:t xml:space="preserve">best practice across fundraising and income </w:t>
      </w:r>
      <w:r w:rsidR="00F77A7C" w:rsidRPr="006F7AD0">
        <w:rPr>
          <w:rFonts w:eastAsia="Times New Roman"/>
          <w:bCs/>
          <w:color w:val="000000"/>
          <w:sz w:val="22"/>
          <w:szCs w:val="22"/>
        </w:rPr>
        <w:t>generation</w:t>
      </w:r>
    </w:p>
    <w:p w14:paraId="27C0D227" w14:textId="77777777" w:rsidR="00F77A7C" w:rsidRPr="006F7AD0" w:rsidRDefault="00F77A7C" w:rsidP="00F77A7C">
      <w:pPr>
        <w:spacing w:after="300" w:line="270" w:lineRule="atLeast"/>
        <w:rPr>
          <w:rFonts w:eastAsia="Times New Roman"/>
          <w:bCs/>
          <w:color w:val="000000"/>
          <w:sz w:val="22"/>
          <w:szCs w:val="22"/>
        </w:rPr>
      </w:pPr>
      <w:r w:rsidRPr="006F7AD0">
        <w:rPr>
          <w:rFonts w:eastAsia="Times New Roman"/>
          <w:bCs/>
          <w:color w:val="000000"/>
          <w:sz w:val="22"/>
          <w:szCs w:val="22"/>
        </w:rPr>
        <w:t>The chosen candidate will be required to start as soon as possible.</w:t>
      </w:r>
    </w:p>
    <w:p w14:paraId="725A3C72" w14:textId="77777777" w:rsidR="00F77A7C" w:rsidRPr="006F7AD0" w:rsidRDefault="00F77A7C" w:rsidP="00F77A7C">
      <w:pPr>
        <w:pStyle w:val="Heading2"/>
        <w:rPr>
          <w:sz w:val="22"/>
          <w:szCs w:val="22"/>
        </w:rPr>
      </w:pPr>
      <w:r w:rsidRPr="006F7AD0">
        <w:rPr>
          <w:sz w:val="22"/>
          <w:szCs w:val="22"/>
        </w:rPr>
        <w:t>Responsibilities</w:t>
      </w:r>
    </w:p>
    <w:p w14:paraId="0ACDD0C3" w14:textId="77777777" w:rsidR="00F77A7C" w:rsidRPr="006F7AD0" w:rsidRDefault="00F77A7C" w:rsidP="00F77A7C">
      <w:pPr>
        <w:pStyle w:val="Heading3"/>
        <w:rPr>
          <w:sz w:val="22"/>
          <w:szCs w:val="22"/>
        </w:rPr>
      </w:pPr>
      <w:r w:rsidRPr="006F7AD0">
        <w:rPr>
          <w:sz w:val="22"/>
          <w:szCs w:val="22"/>
        </w:rPr>
        <w:t>1.  Leadership and management</w:t>
      </w:r>
    </w:p>
    <w:p w14:paraId="50110645" w14:textId="43206DE0" w:rsidR="00F77A7C" w:rsidRPr="006F7AD0" w:rsidRDefault="00F77A7C" w:rsidP="00F77A7C">
      <w:pPr>
        <w:pStyle w:val="ListParagraph"/>
        <w:numPr>
          <w:ilvl w:val="0"/>
          <w:numId w:val="7"/>
        </w:numPr>
        <w:overflowPunct w:val="0"/>
        <w:autoSpaceDE w:val="0"/>
        <w:autoSpaceDN w:val="0"/>
        <w:adjustRightInd w:val="0"/>
        <w:spacing w:after="120"/>
        <w:rPr>
          <w:sz w:val="22"/>
          <w:szCs w:val="22"/>
        </w:rPr>
      </w:pPr>
      <w:r w:rsidRPr="006F7AD0">
        <w:rPr>
          <w:sz w:val="22"/>
          <w:szCs w:val="22"/>
        </w:rPr>
        <w:t>Provide leadership for fundraising across the TSA team. Attend regular strategy meetings and be a leading voice in shaping immediate fundraising strategies</w:t>
      </w:r>
    </w:p>
    <w:p w14:paraId="382A69D9" w14:textId="22731A49" w:rsidR="00F77A7C" w:rsidRPr="006F7AD0" w:rsidRDefault="00F77A7C" w:rsidP="00F77A7C">
      <w:pPr>
        <w:pStyle w:val="ListParagraph"/>
        <w:numPr>
          <w:ilvl w:val="0"/>
          <w:numId w:val="7"/>
        </w:numPr>
        <w:overflowPunct w:val="0"/>
        <w:autoSpaceDE w:val="0"/>
        <w:autoSpaceDN w:val="0"/>
        <w:adjustRightInd w:val="0"/>
        <w:spacing w:after="0"/>
        <w:rPr>
          <w:sz w:val="22"/>
          <w:szCs w:val="22"/>
        </w:rPr>
      </w:pPr>
      <w:r w:rsidRPr="006F7AD0">
        <w:rPr>
          <w:sz w:val="22"/>
          <w:szCs w:val="22"/>
        </w:rPr>
        <w:t xml:space="preserve">Line manage a Fundraising </w:t>
      </w:r>
      <w:r w:rsidR="00FF34AE" w:rsidRPr="006F7AD0">
        <w:rPr>
          <w:sz w:val="22"/>
          <w:szCs w:val="22"/>
        </w:rPr>
        <w:t>Officer</w:t>
      </w:r>
      <w:r w:rsidRPr="006F7AD0">
        <w:rPr>
          <w:sz w:val="22"/>
          <w:szCs w:val="22"/>
        </w:rPr>
        <w:t xml:space="preserve">, including regular meetings and ensuring that the </w:t>
      </w:r>
      <w:r w:rsidR="00454481">
        <w:rPr>
          <w:sz w:val="22"/>
          <w:szCs w:val="22"/>
        </w:rPr>
        <w:t>F</w:t>
      </w:r>
      <w:r w:rsidRPr="006F7AD0">
        <w:rPr>
          <w:sz w:val="22"/>
          <w:szCs w:val="22"/>
        </w:rPr>
        <w:t xml:space="preserve">undraising </w:t>
      </w:r>
      <w:r w:rsidR="00454481">
        <w:rPr>
          <w:sz w:val="22"/>
          <w:szCs w:val="22"/>
        </w:rPr>
        <w:t>O</w:t>
      </w:r>
      <w:r w:rsidR="00FF34AE" w:rsidRPr="006F7AD0">
        <w:rPr>
          <w:sz w:val="22"/>
          <w:szCs w:val="22"/>
        </w:rPr>
        <w:t>fficer</w:t>
      </w:r>
      <w:r w:rsidRPr="006F7AD0">
        <w:rPr>
          <w:sz w:val="22"/>
          <w:szCs w:val="22"/>
        </w:rPr>
        <w:t xml:space="preserve"> is fulfilling all areas of their role (the role of Fundraising </w:t>
      </w:r>
      <w:r w:rsidR="001214C7" w:rsidRPr="006F7AD0">
        <w:rPr>
          <w:sz w:val="22"/>
          <w:szCs w:val="22"/>
        </w:rPr>
        <w:t>Officer</w:t>
      </w:r>
      <w:r w:rsidRPr="006F7AD0">
        <w:rPr>
          <w:sz w:val="22"/>
          <w:szCs w:val="22"/>
        </w:rPr>
        <w:t xml:space="preserve"> is currently being recruited).</w:t>
      </w:r>
    </w:p>
    <w:p w14:paraId="726ABD10" w14:textId="4E23FEF8" w:rsidR="00F77A7C" w:rsidRPr="006F7AD0" w:rsidRDefault="00F77A7C" w:rsidP="00F77A7C">
      <w:pPr>
        <w:pStyle w:val="ListParagraph"/>
        <w:numPr>
          <w:ilvl w:val="0"/>
          <w:numId w:val="7"/>
        </w:numPr>
        <w:overflowPunct w:val="0"/>
        <w:autoSpaceDE w:val="0"/>
        <w:autoSpaceDN w:val="0"/>
        <w:adjustRightInd w:val="0"/>
        <w:spacing w:after="120"/>
        <w:rPr>
          <w:sz w:val="22"/>
          <w:szCs w:val="22"/>
        </w:rPr>
      </w:pPr>
      <w:r w:rsidRPr="006F7AD0">
        <w:rPr>
          <w:sz w:val="22"/>
          <w:szCs w:val="22"/>
        </w:rPr>
        <w:t>Lead on the short</w:t>
      </w:r>
      <w:r w:rsidR="00454481">
        <w:rPr>
          <w:sz w:val="22"/>
          <w:szCs w:val="22"/>
        </w:rPr>
        <w:t xml:space="preserve"> and long</w:t>
      </w:r>
      <w:r w:rsidRPr="006F7AD0">
        <w:rPr>
          <w:sz w:val="22"/>
          <w:szCs w:val="22"/>
        </w:rPr>
        <w:t>-term strateg</w:t>
      </w:r>
      <w:r w:rsidR="00454481">
        <w:rPr>
          <w:sz w:val="22"/>
          <w:szCs w:val="22"/>
        </w:rPr>
        <w:t>ies</w:t>
      </w:r>
      <w:r w:rsidRPr="006F7AD0">
        <w:rPr>
          <w:sz w:val="22"/>
          <w:szCs w:val="22"/>
        </w:rPr>
        <w:t xml:space="preserve"> for income generation</w:t>
      </w:r>
    </w:p>
    <w:p w14:paraId="5FD5F620" w14:textId="23D52606" w:rsidR="00F77A7C" w:rsidRPr="006F7AD0" w:rsidRDefault="00F77A7C" w:rsidP="00F77A7C">
      <w:pPr>
        <w:pStyle w:val="ListParagraph"/>
        <w:numPr>
          <w:ilvl w:val="0"/>
          <w:numId w:val="7"/>
        </w:numPr>
        <w:overflowPunct w:val="0"/>
        <w:autoSpaceDE w:val="0"/>
        <w:autoSpaceDN w:val="0"/>
        <w:adjustRightInd w:val="0"/>
        <w:spacing w:after="120"/>
        <w:rPr>
          <w:sz w:val="22"/>
          <w:szCs w:val="22"/>
        </w:rPr>
      </w:pPr>
      <w:r w:rsidRPr="006F7AD0">
        <w:rPr>
          <w:sz w:val="22"/>
          <w:szCs w:val="22"/>
        </w:rPr>
        <w:t>Lead on the annual business planning and budget cycle for income generation.</w:t>
      </w:r>
    </w:p>
    <w:p w14:paraId="51FD373C" w14:textId="55F94CB4" w:rsidR="00F77A7C" w:rsidRPr="006F7AD0" w:rsidRDefault="00F77A7C" w:rsidP="00F77A7C">
      <w:pPr>
        <w:pStyle w:val="ListParagraph"/>
        <w:numPr>
          <w:ilvl w:val="0"/>
          <w:numId w:val="7"/>
        </w:numPr>
        <w:overflowPunct w:val="0"/>
        <w:autoSpaceDE w:val="0"/>
        <w:autoSpaceDN w:val="0"/>
        <w:adjustRightInd w:val="0"/>
        <w:spacing w:after="120"/>
        <w:rPr>
          <w:sz w:val="22"/>
          <w:szCs w:val="22"/>
        </w:rPr>
      </w:pPr>
      <w:r w:rsidRPr="006F7AD0">
        <w:rPr>
          <w:sz w:val="22"/>
          <w:szCs w:val="22"/>
        </w:rPr>
        <w:t>Collect and analyse data to demonstrate the impact of fundraising and income generation. Use this data to inform quarterly reports to the Board, determine the impact of the team’s work and drive continual improvements in policy and practice</w:t>
      </w:r>
    </w:p>
    <w:p w14:paraId="09A8F18E" w14:textId="580082B6" w:rsidR="00F77A7C" w:rsidRPr="006F7AD0" w:rsidRDefault="00F77A7C" w:rsidP="00F77A7C">
      <w:pPr>
        <w:pStyle w:val="ListParagraph"/>
        <w:numPr>
          <w:ilvl w:val="0"/>
          <w:numId w:val="7"/>
        </w:numPr>
        <w:overflowPunct w:val="0"/>
        <w:autoSpaceDE w:val="0"/>
        <w:autoSpaceDN w:val="0"/>
        <w:adjustRightInd w:val="0"/>
        <w:spacing w:after="120"/>
        <w:rPr>
          <w:sz w:val="22"/>
          <w:szCs w:val="22"/>
        </w:rPr>
      </w:pPr>
      <w:r w:rsidRPr="006F7AD0">
        <w:rPr>
          <w:sz w:val="22"/>
          <w:szCs w:val="22"/>
        </w:rPr>
        <w:t>Attend and actively contribute to weekly TSA management team teleconferences</w:t>
      </w:r>
    </w:p>
    <w:p w14:paraId="214F9312" w14:textId="2D45BB44" w:rsidR="00F77A7C" w:rsidRPr="006F7AD0" w:rsidRDefault="00F77A7C" w:rsidP="00C50F57">
      <w:pPr>
        <w:pStyle w:val="Heading3"/>
        <w:rPr>
          <w:sz w:val="22"/>
          <w:szCs w:val="22"/>
        </w:rPr>
      </w:pPr>
      <w:r w:rsidRPr="006F7AD0">
        <w:rPr>
          <w:sz w:val="22"/>
          <w:szCs w:val="22"/>
        </w:rPr>
        <w:t>2.</w:t>
      </w:r>
      <w:r w:rsidR="00C50F57">
        <w:rPr>
          <w:sz w:val="22"/>
          <w:szCs w:val="22"/>
        </w:rPr>
        <w:t xml:space="preserve">  </w:t>
      </w:r>
      <w:r w:rsidRPr="006F7AD0">
        <w:rPr>
          <w:sz w:val="22"/>
          <w:szCs w:val="22"/>
        </w:rPr>
        <w:t>Income Generation and partnership</w:t>
      </w:r>
    </w:p>
    <w:p w14:paraId="1EB47057" w14:textId="44AC1D7E" w:rsidR="00CA386A" w:rsidRPr="006F7AD0" w:rsidRDefault="00F77A7C" w:rsidP="00CA386A">
      <w:pPr>
        <w:pStyle w:val="ListParagraph"/>
        <w:numPr>
          <w:ilvl w:val="0"/>
          <w:numId w:val="8"/>
        </w:numPr>
        <w:overflowPunct w:val="0"/>
        <w:autoSpaceDE w:val="0"/>
        <w:autoSpaceDN w:val="0"/>
        <w:adjustRightInd w:val="0"/>
        <w:spacing w:after="120"/>
        <w:rPr>
          <w:sz w:val="22"/>
          <w:szCs w:val="22"/>
        </w:rPr>
      </w:pPr>
      <w:r w:rsidRPr="006F7AD0">
        <w:rPr>
          <w:sz w:val="22"/>
          <w:szCs w:val="22"/>
        </w:rPr>
        <w:t>Lead on the development and delivery of a short</w:t>
      </w:r>
      <w:r w:rsidR="00C50F57">
        <w:rPr>
          <w:sz w:val="22"/>
          <w:szCs w:val="22"/>
        </w:rPr>
        <w:t xml:space="preserve"> and long</w:t>
      </w:r>
      <w:r w:rsidRPr="006F7AD0">
        <w:rPr>
          <w:sz w:val="22"/>
          <w:szCs w:val="22"/>
        </w:rPr>
        <w:t>-term fundraising and partnership strategy for the TSA.</w:t>
      </w:r>
      <w:r w:rsidR="00861D44" w:rsidRPr="006F7AD0">
        <w:rPr>
          <w:sz w:val="22"/>
          <w:szCs w:val="22"/>
        </w:rPr>
        <w:t xml:space="preserve"> </w:t>
      </w:r>
      <w:r w:rsidRPr="006F7AD0">
        <w:rPr>
          <w:sz w:val="22"/>
          <w:szCs w:val="22"/>
        </w:rPr>
        <w:t>Ensure that the TSA has a balanced portfolio of fundraising income from multiple sources, including community fundraising, trusts and foundations, corporate partners, regular givers, major donors and legacies</w:t>
      </w:r>
    </w:p>
    <w:p w14:paraId="38A592B1" w14:textId="19F43807" w:rsidR="00CA386A" w:rsidRPr="006F7AD0" w:rsidRDefault="00F77A7C" w:rsidP="00CA386A">
      <w:pPr>
        <w:pStyle w:val="ListParagraph"/>
        <w:numPr>
          <w:ilvl w:val="0"/>
          <w:numId w:val="8"/>
        </w:numPr>
        <w:overflowPunct w:val="0"/>
        <w:autoSpaceDE w:val="0"/>
        <w:autoSpaceDN w:val="0"/>
        <w:adjustRightInd w:val="0"/>
        <w:spacing w:after="120"/>
        <w:rPr>
          <w:sz w:val="22"/>
          <w:szCs w:val="22"/>
        </w:rPr>
      </w:pPr>
      <w:r w:rsidRPr="006F7AD0">
        <w:rPr>
          <w:sz w:val="22"/>
          <w:szCs w:val="22"/>
        </w:rPr>
        <w:t>Working closely with the Head of Research, expand the TSA’s range of research funding sources to include public, academic, commercial and innovation funding alongside investment from the TSA itself</w:t>
      </w:r>
    </w:p>
    <w:p w14:paraId="1DF1F221" w14:textId="4916226F" w:rsidR="00F77A7C" w:rsidRPr="006F7AD0" w:rsidRDefault="00F77A7C" w:rsidP="00CA386A">
      <w:pPr>
        <w:pStyle w:val="ListParagraph"/>
        <w:numPr>
          <w:ilvl w:val="0"/>
          <w:numId w:val="8"/>
        </w:numPr>
        <w:overflowPunct w:val="0"/>
        <w:autoSpaceDE w:val="0"/>
        <w:autoSpaceDN w:val="0"/>
        <w:adjustRightInd w:val="0"/>
        <w:spacing w:after="120"/>
        <w:rPr>
          <w:sz w:val="22"/>
          <w:szCs w:val="22"/>
        </w:rPr>
      </w:pPr>
      <w:r w:rsidRPr="006F7AD0">
        <w:rPr>
          <w:sz w:val="22"/>
          <w:szCs w:val="22"/>
        </w:rPr>
        <w:t>Accurately forecast and monitor against income generation targets</w:t>
      </w:r>
    </w:p>
    <w:p w14:paraId="43A02C1F" w14:textId="7133D782" w:rsidR="00F77A7C" w:rsidRPr="006F7AD0" w:rsidRDefault="00F77A7C" w:rsidP="00CA386A">
      <w:pPr>
        <w:pStyle w:val="ListParagraph"/>
        <w:numPr>
          <w:ilvl w:val="0"/>
          <w:numId w:val="8"/>
        </w:numPr>
        <w:overflowPunct w:val="0"/>
        <w:autoSpaceDE w:val="0"/>
        <w:autoSpaceDN w:val="0"/>
        <w:adjustRightInd w:val="0"/>
        <w:spacing w:after="120"/>
        <w:rPr>
          <w:sz w:val="22"/>
          <w:szCs w:val="22"/>
        </w:rPr>
      </w:pPr>
      <w:r w:rsidRPr="006F7AD0">
        <w:rPr>
          <w:sz w:val="22"/>
          <w:szCs w:val="22"/>
        </w:rPr>
        <w:lastRenderedPageBreak/>
        <w:t>Identify opportunities to work with partners on areas of common interest where the TSA can achieve more through joint funding, gifts in kind (such as time or services), or delivering joint projects than the charity could do by working alone</w:t>
      </w:r>
    </w:p>
    <w:p w14:paraId="364AE8B4" w14:textId="6CDF9899" w:rsidR="00F77A7C" w:rsidRPr="006F7AD0" w:rsidRDefault="00CA386A" w:rsidP="00CA386A">
      <w:pPr>
        <w:pStyle w:val="ListParagraph"/>
        <w:numPr>
          <w:ilvl w:val="0"/>
          <w:numId w:val="8"/>
        </w:numPr>
        <w:overflowPunct w:val="0"/>
        <w:autoSpaceDE w:val="0"/>
        <w:autoSpaceDN w:val="0"/>
        <w:adjustRightInd w:val="0"/>
        <w:spacing w:after="120"/>
        <w:rPr>
          <w:sz w:val="22"/>
          <w:szCs w:val="22"/>
        </w:rPr>
      </w:pPr>
      <w:r w:rsidRPr="006F7AD0">
        <w:rPr>
          <w:sz w:val="22"/>
          <w:szCs w:val="22"/>
        </w:rPr>
        <w:t>W</w:t>
      </w:r>
      <w:r w:rsidR="00F77A7C" w:rsidRPr="006F7AD0">
        <w:rPr>
          <w:sz w:val="22"/>
          <w:szCs w:val="22"/>
        </w:rPr>
        <w:t>here possible, review and update the TSA’s policies and procedures on fundraising and working with corporate partners to ensure that we are demonstrating best practice as well as complying with the law</w:t>
      </w:r>
    </w:p>
    <w:p w14:paraId="68C66ECB" w14:textId="58EE27E2" w:rsidR="00F77A7C" w:rsidRPr="006F7AD0" w:rsidRDefault="00F77A7C" w:rsidP="00CA386A">
      <w:pPr>
        <w:pStyle w:val="ListParagraph"/>
        <w:numPr>
          <w:ilvl w:val="0"/>
          <w:numId w:val="8"/>
        </w:numPr>
        <w:overflowPunct w:val="0"/>
        <w:autoSpaceDE w:val="0"/>
        <w:autoSpaceDN w:val="0"/>
        <w:adjustRightInd w:val="0"/>
        <w:spacing w:after="120"/>
        <w:rPr>
          <w:sz w:val="22"/>
          <w:szCs w:val="22"/>
        </w:rPr>
      </w:pPr>
      <w:r w:rsidRPr="006F7AD0">
        <w:rPr>
          <w:sz w:val="22"/>
          <w:szCs w:val="22"/>
        </w:rPr>
        <w:t>Continue to maintain established, and develop new, relationships with potential funders and partners across all sectors, including leads from relevant trusts and foundations, high net worth individuals, key community fundraisers, and corporate and charity partners</w:t>
      </w:r>
    </w:p>
    <w:p w14:paraId="3C972A18" w14:textId="2D6996F3" w:rsidR="00F77A7C" w:rsidRPr="006F7AD0" w:rsidRDefault="00F77A7C" w:rsidP="00CA386A">
      <w:pPr>
        <w:pStyle w:val="Heading3"/>
        <w:spacing w:before="200"/>
        <w:rPr>
          <w:sz w:val="22"/>
          <w:szCs w:val="22"/>
        </w:rPr>
      </w:pPr>
      <w:r w:rsidRPr="006F7AD0">
        <w:rPr>
          <w:sz w:val="22"/>
          <w:szCs w:val="22"/>
        </w:rPr>
        <w:t>3.</w:t>
      </w:r>
      <w:r w:rsidR="00C50F57">
        <w:rPr>
          <w:sz w:val="22"/>
          <w:szCs w:val="22"/>
        </w:rPr>
        <w:t xml:space="preserve">   </w:t>
      </w:r>
      <w:r w:rsidRPr="006F7AD0">
        <w:rPr>
          <w:sz w:val="22"/>
          <w:szCs w:val="22"/>
        </w:rPr>
        <w:t>Communications</w:t>
      </w:r>
    </w:p>
    <w:p w14:paraId="629FF04B" w14:textId="05FB3313" w:rsidR="00F77A7C" w:rsidRPr="006F7AD0" w:rsidRDefault="00F77A7C" w:rsidP="00CA386A">
      <w:pPr>
        <w:pStyle w:val="ListParagraph"/>
        <w:numPr>
          <w:ilvl w:val="0"/>
          <w:numId w:val="9"/>
        </w:numPr>
        <w:rPr>
          <w:sz w:val="22"/>
          <w:szCs w:val="22"/>
        </w:rPr>
      </w:pPr>
      <w:r w:rsidRPr="006F7AD0">
        <w:rPr>
          <w:sz w:val="22"/>
          <w:szCs w:val="22"/>
        </w:rPr>
        <w:t>Lead on the development of inspiring fundraising campaigns and content for distribution across all digital platforms. Including social media, e-newsletters, website and fundraising platforms (such as JustGiving)</w:t>
      </w:r>
    </w:p>
    <w:p w14:paraId="1CF4C686" w14:textId="10E303A5" w:rsidR="00F77A7C" w:rsidRPr="006F7AD0" w:rsidRDefault="00F77A7C" w:rsidP="00CA386A">
      <w:pPr>
        <w:pStyle w:val="ListParagraph"/>
        <w:numPr>
          <w:ilvl w:val="0"/>
          <w:numId w:val="9"/>
        </w:numPr>
        <w:rPr>
          <w:sz w:val="22"/>
          <w:szCs w:val="22"/>
        </w:rPr>
      </w:pPr>
      <w:r w:rsidRPr="006F7AD0">
        <w:rPr>
          <w:sz w:val="22"/>
          <w:szCs w:val="22"/>
        </w:rPr>
        <w:t>Develop a supporter engagement plan to identify and build strong working relationships in order to grow and develop income</w:t>
      </w:r>
    </w:p>
    <w:p w14:paraId="03A68490" w14:textId="77777777" w:rsidR="00F77A7C" w:rsidRPr="006F7AD0" w:rsidRDefault="00F77A7C" w:rsidP="00CA386A">
      <w:pPr>
        <w:pStyle w:val="Heading2"/>
        <w:spacing w:before="200"/>
        <w:rPr>
          <w:sz w:val="22"/>
          <w:szCs w:val="22"/>
        </w:rPr>
      </w:pPr>
      <w:r w:rsidRPr="006F7AD0">
        <w:rPr>
          <w:sz w:val="22"/>
          <w:szCs w:val="22"/>
        </w:rPr>
        <w:t>Other requirements of the post</w:t>
      </w:r>
    </w:p>
    <w:p w14:paraId="26384B13" w14:textId="437CDE25" w:rsidR="00F77A7C" w:rsidRPr="006F7AD0" w:rsidRDefault="00F77A7C" w:rsidP="00F77A7C">
      <w:pPr>
        <w:rPr>
          <w:b/>
          <w:sz w:val="22"/>
          <w:szCs w:val="22"/>
        </w:rPr>
      </w:pPr>
      <w:r w:rsidRPr="006F7AD0">
        <w:rPr>
          <w:sz w:val="22"/>
          <w:szCs w:val="22"/>
        </w:rPr>
        <w:t>The post holder must be prepared to work flexibly to meet the needs of the organisation.  This may entail occasional evening and weekend work. Occasional travel within the UK may be required for team meetings and events.</w:t>
      </w:r>
    </w:p>
    <w:p w14:paraId="58A4EBAC" w14:textId="77777777" w:rsidR="00F77A7C" w:rsidRPr="006F7AD0" w:rsidRDefault="00F77A7C" w:rsidP="00F77A7C">
      <w:pPr>
        <w:rPr>
          <w:sz w:val="22"/>
          <w:szCs w:val="22"/>
        </w:rPr>
      </w:pPr>
      <w:r w:rsidRPr="006F7AD0">
        <w:rPr>
          <w:sz w:val="22"/>
          <w:szCs w:val="22"/>
        </w:rPr>
        <w:t>A DBS enhanced disclosure will be required prior to taking up post.</w:t>
      </w:r>
    </w:p>
    <w:p w14:paraId="644A1FE8" w14:textId="77777777" w:rsidR="00F77A7C" w:rsidRPr="006F7AD0" w:rsidRDefault="00F77A7C" w:rsidP="00F77A7C">
      <w:pPr>
        <w:pStyle w:val="Heading2"/>
        <w:rPr>
          <w:sz w:val="22"/>
          <w:szCs w:val="22"/>
        </w:rPr>
      </w:pPr>
      <w:r w:rsidRPr="006F7AD0">
        <w:rPr>
          <w:sz w:val="22"/>
          <w:szCs w:val="22"/>
        </w:rPr>
        <w:t>Person specification</w:t>
      </w:r>
    </w:p>
    <w:p w14:paraId="2A1CF7EE" w14:textId="77777777" w:rsidR="00F77A7C" w:rsidRPr="006F7AD0" w:rsidRDefault="00F77A7C" w:rsidP="00F77A7C">
      <w:pPr>
        <w:pStyle w:val="Heading3"/>
        <w:rPr>
          <w:sz w:val="22"/>
          <w:szCs w:val="22"/>
        </w:rPr>
      </w:pPr>
      <w:r w:rsidRPr="006F7AD0">
        <w:rPr>
          <w:sz w:val="22"/>
          <w:szCs w:val="22"/>
        </w:rPr>
        <w:t>Essential</w:t>
      </w:r>
    </w:p>
    <w:p w14:paraId="34601E7B" w14:textId="77777777" w:rsidR="00F77A7C" w:rsidRPr="005E4BDF" w:rsidRDefault="00F77A7C" w:rsidP="00F77A7C">
      <w:pPr>
        <w:numPr>
          <w:ilvl w:val="0"/>
          <w:numId w:val="3"/>
        </w:numPr>
        <w:overflowPunct w:val="0"/>
        <w:autoSpaceDE w:val="0"/>
        <w:autoSpaceDN w:val="0"/>
        <w:adjustRightInd w:val="0"/>
        <w:spacing w:after="0"/>
        <w:rPr>
          <w:b/>
          <w:sz w:val="22"/>
          <w:szCs w:val="22"/>
        </w:rPr>
      </w:pPr>
      <w:r w:rsidRPr="006F7AD0">
        <w:rPr>
          <w:bCs/>
          <w:sz w:val="22"/>
          <w:szCs w:val="22"/>
        </w:rPr>
        <w:t xml:space="preserve">Proven background in fundraising and income generation leadership, including in community </w:t>
      </w:r>
      <w:r w:rsidRPr="005E4BDF">
        <w:rPr>
          <w:bCs/>
          <w:sz w:val="22"/>
          <w:szCs w:val="22"/>
        </w:rPr>
        <w:t>fundraising and trusts and foundations</w:t>
      </w:r>
    </w:p>
    <w:p w14:paraId="7A3C9F2C" w14:textId="0F87045A" w:rsidR="00C50F57" w:rsidRPr="005E4BDF" w:rsidRDefault="00C50F57" w:rsidP="00C50F57">
      <w:pPr>
        <w:numPr>
          <w:ilvl w:val="0"/>
          <w:numId w:val="3"/>
        </w:numPr>
        <w:overflowPunct w:val="0"/>
        <w:autoSpaceDE w:val="0"/>
        <w:autoSpaceDN w:val="0"/>
        <w:adjustRightInd w:val="0"/>
        <w:spacing w:after="0"/>
        <w:rPr>
          <w:sz w:val="22"/>
          <w:szCs w:val="22"/>
        </w:rPr>
      </w:pPr>
      <w:r w:rsidRPr="005E4BDF">
        <w:rPr>
          <w:sz w:val="22"/>
          <w:szCs w:val="22"/>
        </w:rPr>
        <w:t>Experience of working with customer relationship management databases (please note that we use Harlequin – knowledge and uptake of this will be vital)</w:t>
      </w:r>
    </w:p>
    <w:p w14:paraId="667E374A" w14:textId="32A89442" w:rsidR="00F77A7C" w:rsidRPr="005E4BDF" w:rsidRDefault="00F77A7C" w:rsidP="00F77A7C">
      <w:pPr>
        <w:numPr>
          <w:ilvl w:val="0"/>
          <w:numId w:val="3"/>
        </w:numPr>
        <w:overflowPunct w:val="0"/>
        <w:autoSpaceDE w:val="0"/>
        <w:autoSpaceDN w:val="0"/>
        <w:adjustRightInd w:val="0"/>
        <w:spacing w:after="0"/>
        <w:rPr>
          <w:b/>
          <w:sz w:val="22"/>
          <w:szCs w:val="22"/>
        </w:rPr>
      </w:pPr>
      <w:r w:rsidRPr="005E4BDF">
        <w:rPr>
          <w:sz w:val="22"/>
          <w:szCs w:val="22"/>
        </w:rPr>
        <w:t>Experience of developing strategies and business plans</w:t>
      </w:r>
    </w:p>
    <w:p w14:paraId="131BED39" w14:textId="77777777" w:rsidR="00F77A7C" w:rsidRPr="005E4BDF" w:rsidRDefault="00F77A7C" w:rsidP="00F77A7C">
      <w:pPr>
        <w:numPr>
          <w:ilvl w:val="0"/>
          <w:numId w:val="3"/>
        </w:numPr>
        <w:overflowPunct w:val="0"/>
        <w:autoSpaceDE w:val="0"/>
        <w:autoSpaceDN w:val="0"/>
        <w:adjustRightInd w:val="0"/>
        <w:spacing w:after="0"/>
        <w:rPr>
          <w:b/>
          <w:sz w:val="22"/>
          <w:szCs w:val="22"/>
        </w:rPr>
      </w:pPr>
      <w:r w:rsidRPr="005E4BDF">
        <w:rPr>
          <w:sz w:val="22"/>
          <w:szCs w:val="22"/>
        </w:rPr>
        <w:t>Experience of leading a team and line-managing colleagues</w:t>
      </w:r>
    </w:p>
    <w:p w14:paraId="3168674B" w14:textId="77777777" w:rsidR="00F77A7C" w:rsidRPr="005E4BDF" w:rsidRDefault="00F77A7C" w:rsidP="00F77A7C">
      <w:pPr>
        <w:numPr>
          <w:ilvl w:val="0"/>
          <w:numId w:val="3"/>
        </w:numPr>
        <w:overflowPunct w:val="0"/>
        <w:autoSpaceDE w:val="0"/>
        <w:autoSpaceDN w:val="0"/>
        <w:adjustRightInd w:val="0"/>
        <w:spacing w:after="0"/>
        <w:rPr>
          <w:sz w:val="22"/>
          <w:szCs w:val="22"/>
        </w:rPr>
      </w:pPr>
      <w:r w:rsidRPr="005E4BDF">
        <w:rPr>
          <w:sz w:val="22"/>
          <w:szCs w:val="22"/>
        </w:rPr>
        <w:t>Experience of developing standard operating procedures and embedding them in day-to-day operations</w:t>
      </w:r>
    </w:p>
    <w:p w14:paraId="0D4F7BF2" w14:textId="77777777" w:rsidR="00F77A7C" w:rsidRPr="005E4BDF" w:rsidRDefault="00F77A7C" w:rsidP="00F77A7C">
      <w:pPr>
        <w:numPr>
          <w:ilvl w:val="0"/>
          <w:numId w:val="3"/>
        </w:numPr>
        <w:overflowPunct w:val="0"/>
        <w:autoSpaceDE w:val="0"/>
        <w:autoSpaceDN w:val="0"/>
        <w:adjustRightInd w:val="0"/>
        <w:spacing w:after="0"/>
        <w:rPr>
          <w:sz w:val="22"/>
          <w:szCs w:val="22"/>
        </w:rPr>
      </w:pPr>
      <w:r w:rsidRPr="005E4BDF">
        <w:rPr>
          <w:sz w:val="22"/>
          <w:szCs w:val="22"/>
        </w:rPr>
        <w:t>Experience of managing budgets</w:t>
      </w:r>
    </w:p>
    <w:p w14:paraId="3D52A245" w14:textId="28631180" w:rsidR="00F77A7C" w:rsidRPr="005E4BDF" w:rsidRDefault="00F77A7C" w:rsidP="00F77A7C">
      <w:pPr>
        <w:numPr>
          <w:ilvl w:val="0"/>
          <w:numId w:val="3"/>
        </w:numPr>
        <w:overflowPunct w:val="0"/>
        <w:autoSpaceDE w:val="0"/>
        <w:autoSpaceDN w:val="0"/>
        <w:adjustRightInd w:val="0"/>
        <w:spacing w:after="0"/>
        <w:rPr>
          <w:sz w:val="22"/>
          <w:szCs w:val="22"/>
        </w:rPr>
      </w:pPr>
      <w:r w:rsidRPr="005E4BDF">
        <w:rPr>
          <w:sz w:val="22"/>
          <w:szCs w:val="22"/>
        </w:rPr>
        <w:t>Able to set and manage ambitious income targets</w:t>
      </w:r>
    </w:p>
    <w:p w14:paraId="7BA33017" w14:textId="4B455B54" w:rsidR="00C50F57" w:rsidRPr="005E4BDF" w:rsidRDefault="00C50F57" w:rsidP="00F77A7C">
      <w:pPr>
        <w:numPr>
          <w:ilvl w:val="0"/>
          <w:numId w:val="3"/>
        </w:numPr>
        <w:overflowPunct w:val="0"/>
        <w:autoSpaceDE w:val="0"/>
        <w:autoSpaceDN w:val="0"/>
        <w:adjustRightInd w:val="0"/>
        <w:spacing w:after="0"/>
        <w:rPr>
          <w:sz w:val="22"/>
          <w:szCs w:val="22"/>
        </w:rPr>
      </w:pPr>
      <w:r w:rsidRPr="005E4BDF">
        <w:rPr>
          <w:sz w:val="22"/>
          <w:szCs w:val="22"/>
        </w:rPr>
        <w:lastRenderedPageBreak/>
        <w:t>Ability to work of own initiative and to work independently, as well as part of a small team</w:t>
      </w:r>
    </w:p>
    <w:p w14:paraId="2628031D" w14:textId="77777777" w:rsidR="00F77A7C" w:rsidRPr="005E4BDF" w:rsidRDefault="00F77A7C" w:rsidP="00F77A7C">
      <w:pPr>
        <w:numPr>
          <w:ilvl w:val="0"/>
          <w:numId w:val="3"/>
        </w:numPr>
        <w:overflowPunct w:val="0"/>
        <w:autoSpaceDE w:val="0"/>
        <w:autoSpaceDN w:val="0"/>
        <w:adjustRightInd w:val="0"/>
        <w:spacing w:after="0"/>
        <w:rPr>
          <w:sz w:val="22"/>
          <w:szCs w:val="22"/>
        </w:rPr>
      </w:pPr>
      <w:r w:rsidRPr="005E4BDF">
        <w:rPr>
          <w:sz w:val="22"/>
          <w:szCs w:val="22"/>
        </w:rPr>
        <w:t>Quick learner and able to onboard swiftly</w:t>
      </w:r>
    </w:p>
    <w:p w14:paraId="680C4567" w14:textId="77777777" w:rsidR="00F77A7C" w:rsidRPr="005E4BDF" w:rsidRDefault="00F77A7C" w:rsidP="00F77A7C">
      <w:pPr>
        <w:numPr>
          <w:ilvl w:val="0"/>
          <w:numId w:val="3"/>
        </w:numPr>
        <w:overflowPunct w:val="0"/>
        <w:autoSpaceDE w:val="0"/>
        <w:autoSpaceDN w:val="0"/>
        <w:adjustRightInd w:val="0"/>
        <w:spacing w:after="0"/>
        <w:rPr>
          <w:sz w:val="22"/>
          <w:szCs w:val="22"/>
        </w:rPr>
      </w:pPr>
      <w:r w:rsidRPr="005E4BDF">
        <w:rPr>
          <w:sz w:val="22"/>
          <w:szCs w:val="22"/>
        </w:rPr>
        <w:t>Experience of building strong working relationships with funders, partners and external stakeholders</w:t>
      </w:r>
    </w:p>
    <w:p w14:paraId="63B21D0B" w14:textId="77777777" w:rsidR="00F77A7C" w:rsidRPr="005E4BDF" w:rsidRDefault="00F77A7C" w:rsidP="00F77A7C">
      <w:pPr>
        <w:numPr>
          <w:ilvl w:val="0"/>
          <w:numId w:val="3"/>
        </w:numPr>
        <w:overflowPunct w:val="0"/>
        <w:autoSpaceDE w:val="0"/>
        <w:autoSpaceDN w:val="0"/>
        <w:adjustRightInd w:val="0"/>
        <w:spacing w:after="0"/>
        <w:rPr>
          <w:sz w:val="22"/>
          <w:szCs w:val="22"/>
        </w:rPr>
      </w:pPr>
      <w:r w:rsidRPr="005E4BDF">
        <w:rPr>
          <w:sz w:val="22"/>
          <w:szCs w:val="22"/>
        </w:rPr>
        <w:t>Experience of a broad range of communications tactics across media, supporter engagement, websites and social media, internal communications</w:t>
      </w:r>
    </w:p>
    <w:p w14:paraId="43110FBB" w14:textId="77777777" w:rsidR="00F77A7C" w:rsidRPr="005E4BDF" w:rsidRDefault="00F77A7C" w:rsidP="00F77A7C">
      <w:pPr>
        <w:numPr>
          <w:ilvl w:val="0"/>
          <w:numId w:val="3"/>
        </w:numPr>
        <w:overflowPunct w:val="0"/>
        <w:autoSpaceDE w:val="0"/>
        <w:autoSpaceDN w:val="0"/>
        <w:adjustRightInd w:val="0"/>
        <w:spacing w:after="0"/>
        <w:rPr>
          <w:b/>
          <w:sz w:val="22"/>
          <w:szCs w:val="22"/>
        </w:rPr>
      </w:pPr>
      <w:r w:rsidRPr="005E4BDF">
        <w:rPr>
          <w:sz w:val="22"/>
          <w:szCs w:val="22"/>
        </w:rPr>
        <w:t>Able to work with people with a wide range of abilities, with a warm empathetic style</w:t>
      </w:r>
    </w:p>
    <w:p w14:paraId="00953F85" w14:textId="77777777" w:rsidR="00F77A7C" w:rsidRPr="005E4BDF" w:rsidRDefault="00F77A7C" w:rsidP="00F77A7C">
      <w:pPr>
        <w:numPr>
          <w:ilvl w:val="0"/>
          <w:numId w:val="3"/>
        </w:numPr>
        <w:overflowPunct w:val="0"/>
        <w:autoSpaceDE w:val="0"/>
        <w:autoSpaceDN w:val="0"/>
        <w:adjustRightInd w:val="0"/>
        <w:spacing w:after="0"/>
        <w:rPr>
          <w:b/>
          <w:sz w:val="22"/>
          <w:szCs w:val="22"/>
        </w:rPr>
      </w:pPr>
      <w:r w:rsidRPr="005E4BDF">
        <w:rPr>
          <w:sz w:val="22"/>
          <w:szCs w:val="22"/>
        </w:rPr>
        <w:t>Able to assess and analyse complex problems, and develop appropriate solutions</w:t>
      </w:r>
    </w:p>
    <w:p w14:paraId="78B288D6" w14:textId="77777777" w:rsidR="00F77A7C" w:rsidRPr="006F7AD0" w:rsidRDefault="00F77A7C" w:rsidP="00F77A7C">
      <w:pPr>
        <w:numPr>
          <w:ilvl w:val="0"/>
          <w:numId w:val="3"/>
        </w:numPr>
        <w:overflowPunct w:val="0"/>
        <w:autoSpaceDE w:val="0"/>
        <w:autoSpaceDN w:val="0"/>
        <w:adjustRightInd w:val="0"/>
        <w:spacing w:after="0"/>
        <w:rPr>
          <w:b/>
          <w:sz w:val="22"/>
          <w:szCs w:val="22"/>
        </w:rPr>
      </w:pPr>
      <w:r w:rsidRPr="006F7AD0">
        <w:rPr>
          <w:sz w:val="22"/>
          <w:szCs w:val="22"/>
        </w:rPr>
        <w:t>Experience of collecting and monitoring data to analyse service impact and drive service improvements</w:t>
      </w:r>
    </w:p>
    <w:p w14:paraId="74386A6F" w14:textId="77777777" w:rsidR="00F77A7C" w:rsidRPr="006F7AD0" w:rsidRDefault="00F77A7C" w:rsidP="00F77A7C">
      <w:pPr>
        <w:numPr>
          <w:ilvl w:val="0"/>
          <w:numId w:val="3"/>
        </w:numPr>
        <w:overflowPunct w:val="0"/>
        <w:autoSpaceDE w:val="0"/>
        <w:autoSpaceDN w:val="0"/>
        <w:adjustRightInd w:val="0"/>
        <w:spacing w:after="0"/>
        <w:rPr>
          <w:b/>
          <w:sz w:val="22"/>
          <w:szCs w:val="22"/>
        </w:rPr>
      </w:pPr>
      <w:r w:rsidRPr="006F7AD0">
        <w:rPr>
          <w:sz w:val="22"/>
          <w:szCs w:val="22"/>
        </w:rPr>
        <w:t>Able to manage a diverse workload, prioritise needs and manage your own time</w:t>
      </w:r>
    </w:p>
    <w:p w14:paraId="335810E5" w14:textId="77777777" w:rsidR="00F77A7C" w:rsidRPr="006F7AD0" w:rsidRDefault="00F77A7C" w:rsidP="00F77A7C">
      <w:pPr>
        <w:numPr>
          <w:ilvl w:val="0"/>
          <w:numId w:val="3"/>
        </w:numPr>
        <w:overflowPunct w:val="0"/>
        <w:autoSpaceDE w:val="0"/>
        <w:autoSpaceDN w:val="0"/>
        <w:adjustRightInd w:val="0"/>
        <w:spacing w:after="0"/>
        <w:rPr>
          <w:b/>
          <w:sz w:val="22"/>
          <w:szCs w:val="22"/>
        </w:rPr>
      </w:pPr>
      <w:r w:rsidRPr="006F7AD0">
        <w:rPr>
          <w:sz w:val="22"/>
          <w:szCs w:val="22"/>
        </w:rPr>
        <w:t>Excellent communications skills (oral and written)</w:t>
      </w:r>
    </w:p>
    <w:p w14:paraId="40AC6663" w14:textId="581032FB" w:rsidR="00F77A7C" w:rsidRPr="006F7AD0" w:rsidRDefault="00F77A7C" w:rsidP="00F77A7C">
      <w:pPr>
        <w:pStyle w:val="Heading3"/>
        <w:rPr>
          <w:sz w:val="22"/>
          <w:szCs w:val="22"/>
        </w:rPr>
      </w:pPr>
      <w:r w:rsidRPr="006F7AD0">
        <w:rPr>
          <w:sz w:val="22"/>
          <w:szCs w:val="22"/>
        </w:rPr>
        <w:br/>
        <w:t>Desirable</w:t>
      </w:r>
    </w:p>
    <w:p w14:paraId="30E0BF01" w14:textId="04B6A625" w:rsidR="00F77A7C" w:rsidRPr="006F7AD0" w:rsidRDefault="00F77A7C" w:rsidP="00F77A7C">
      <w:pPr>
        <w:numPr>
          <w:ilvl w:val="0"/>
          <w:numId w:val="4"/>
        </w:numPr>
        <w:overflowPunct w:val="0"/>
        <w:autoSpaceDE w:val="0"/>
        <w:autoSpaceDN w:val="0"/>
        <w:adjustRightInd w:val="0"/>
        <w:spacing w:after="0"/>
        <w:rPr>
          <w:sz w:val="22"/>
          <w:szCs w:val="22"/>
        </w:rPr>
      </w:pPr>
      <w:r w:rsidRPr="006F7AD0">
        <w:rPr>
          <w:sz w:val="22"/>
          <w:szCs w:val="22"/>
        </w:rPr>
        <w:t xml:space="preserve">Fundraising </w:t>
      </w:r>
      <w:r w:rsidR="00C50F57">
        <w:rPr>
          <w:sz w:val="22"/>
          <w:szCs w:val="22"/>
        </w:rPr>
        <w:t xml:space="preserve">or income generation </w:t>
      </w:r>
      <w:r w:rsidRPr="006F7AD0">
        <w:rPr>
          <w:sz w:val="22"/>
          <w:szCs w:val="22"/>
        </w:rPr>
        <w:t>qualification</w:t>
      </w:r>
    </w:p>
    <w:p w14:paraId="06E3698E" w14:textId="6D5AFE3C" w:rsidR="00710674" w:rsidRPr="005E4BDF" w:rsidRDefault="00710674" w:rsidP="00F77A7C">
      <w:pPr>
        <w:numPr>
          <w:ilvl w:val="0"/>
          <w:numId w:val="3"/>
        </w:numPr>
        <w:overflowPunct w:val="0"/>
        <w:autoSpaceDE w:val="0"/>
        <w:autoSpaceDN w:val="0"/>
        <w:adjustRightInd w:val="0"/>
        <w:spacing w:after="0"/>
        <w:rPr>
          <w:bCs/>
          <w:sz w:val="22"/>
          <w:szCs w:val="22"/>
        </w:rPr>
      </w:pPr>
      <w:r w:rsidRPr="005E4BDF">
        <w:rPr>
          <w:bCs/>
          <w:sz w:val="22"/>
          <w:szCs w:val="22"/>
        </w:rPr>
        <w:t>Confidence in using website content management systems (</w:t>
      </w:r>
      <w:proofErr w:type="spellStart"/>
      <w:r w:rsidRPr="005E4BDF">
        <w:rPr>
          <w:bCs/>
          <w:sz w:val="22"/>
          <w:szCs w:val="22"/>
        </w:rPr>
        <w:t>Wordpress</w:t>
      </w:r>
      <w:proofErr w:type="spellEnd"/>
      <w:r w:rsidRPr="005E4BDF">
        <w:rPr>
          <w:bCs/>
          <w:sz w:val="22"/>
          <w:szCs w:val="22"/>
        </w:rPr>
        <w:t>)</w:t>
      </w:r>
    </w:p>
    <w:p w14:paraId="390C5770" w14:textId="5F742CB1" w:rsidR="00F77A7C" w:rsidRPr="005E4BDF" w:rsidRDefault="00F77A7C" w:rsidP="00F77A7C">
      <w:pPr>
        <w:numPr>
          <w:ilvl w:val="0"/>
          <w:numId w:val="3"/>
        </w:numPr>
        <w:overflowPunct w:val="0"/>
        <w:autoSpaceDE w:val="0"/>
        <w:autoSpaceDN w:val="0"/>
        <w:adjustRightInd w:val="0"/>
        <w:spacing w:after="0"/>
        <w:rPr>
          <w:b/>
          <w:sz w:val="22"/>
          <w:szCs w:val="22"/>
        </w:rPr>
      </w:pPr>
      <w:r w:rsidRPr="005E4BDF">
        <w:rPr>
          <w:sz w:val="22"/>
          <w:szCs w:val="22"/>
        </w:rPr>
        <w:t xml:space="preserve">Experience of working with people living with learning disabilities or autism </w:t>
      </w:r>
    </w:p>
    <w:p w14:paraId="298347DE" w14:textId="6E109BAD" w:rsidR="00F77A7C" w:rsidRPr="005E4BDF" w:rsidRDefault="00F77A7C" w:rsidP="00F77A7C">
      <w:pPr>
        <w:numPr>
          <w:ilvl w:val="0"/>
          <w:numId w:val="3"/>
        </w:numPr>
        <w:overflowPunct w:val="0"/>
        <w:autoSpaceDE w:val="0"/>
        <w:autoSpaceDN w:val="0"/>
        <w:adjustRightInd w:val="0"/>
        <w:spacing w:after="0"/>
        <w:rPr>
          <w:b/>
          <w:sz w:val="22"/>
          <w:szCs w:val="22"/>
        </w:rPr>
      </w:pPr>
      <w:r w:rsidRPr="005E4BDF">
        <w:rPr>
          <w:sz w:val="22"/>
          <w:szCs w:val="22"/>
        </w:rPr>
        <w:t xml:space="preserve">Experience of working with children or adults with disabilities or chronic health conditions </w:t>
      </w:r>
    </w:p>
    <w:p w14:paraId="35261180" w14:textId="3D4EE0F0" w:rsidR="00BE0141" w:rsidRPr="005E4BDF" w:rsidRDefault="00C50F57" w:rsidP="00AD4754">
      <w:pPr>
        <w:numPr>
          <w:ilvl w:val="0"/>
          <w:numId w:val="3"/>
        </w:numPr>
        <w:overflowPunct w:val="0"/>
        <w:autoSpaceDE w:val="0"/>
        <w:autoSpaceDN w:val="0"/>
        <w:adjustRightInd w:val="0"/>
        <w:spacing w:after="0"/>
      </w:pPr>
      <w:r w:rsidRPr="005E4BDF">
        <w:rPr>
          <w:sz w:val="22"/>
          <w:szCs w:val="22"/>
        </w:rPr>
        <w:t>Experience of working within the rare disease sector</w:t>
      </w:r>
    </w:p>
    <w:sectPr w:rsidR="00BE0141" w:rsidRPr="005E4BDF" w:rsidSect="000C30DE">
      <w:headerReference w:type="default" r:id="rId8"/>
      <w:footerReference w:type="default" r:id="rId9"/>
      <w:pgSz w:w="11900" w:h="16840"/>
      <w:pgMar w:top="1440" w:right="794" w:bottom="1440" w:left="794" w:header="113"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F7250" w14:textId="77777777" w:rsidR="0015425C" w:rsidRDefault="0015425C" w:rsidP="007F5C0F">
      <w:r>
        <w:separator/>
      </w:r>
    </w:p>
  </w:endnote>
  <w:endnote w:type="continuationSeparator" w:id="0">
    <w:p w14:paraId="6571FA23" w14:textId="77777777" w:rsidR="0015425C" w:rsidRDefault="0015425C" w:rsidP="007F5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inionPro-Regular">
    <w:altName w:val="Cambria"/>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749135"/>
      <w:docPartObj>
        <w:docPartGallery w:val="Page Numbers (Bottom of Page)"/>
        <w:docPartUnique/>
      </w:docPartObj>
    </w:sdtPr>
    <w:sdtEndPr>
      <w:rPr>
        <w:noProof/>
      </w:rPr>
    </w:sdtEndPr>
    <w:sdtContent>
      <w:p w14:paraId="6D9DEB41" w14:textId="0EAFB52B" w:rsidR="000C30DE" w:rsidRDefault="000C30DE">
        <w:pPr>
          <w:pStyle w:val="Footer"/>
          <w:jc w:val="center"/>
        </w:pPr>
      </w:p>
      <w:p w14:paraId="3B7BE562" w14:textId="34028C82" w:rsidR="000C30DE" w:rsidRDefault="005E4BDF">
        <w:pPr>
          <w:pStyle w:val="Footer"/>
          <w:jc w:val="center"/>
          <w:rPr>
            <w:b/>
          </w:rPr>
        </w:pPr>
        <w:r w:rsidRPr="0008779D">
          <w:rPr>
            <w:noProof/>
          </w:rPr>
          <mc:AlternateContent>
            <mc:Choice Requires="wps">
              <w:drawing>
                <wp:anchor distT="0" distB="0" distL="114300" distR="114300" simplePos="0" relativeHeight="251662336" behindDoc="0" locked="0" layoutInCell="1" allowOverlap="1" wp14:anchorId="24001CDE" wp14:editId="6D4A5B6D">
                  <wp:simplePos x="0" y="0"/>
                  <wp:positionH relativeFrom="margin">
                    <wp:posOffset>0</wp:posOffset>
                  </wp:positionH>
                  <wp:positionV relativeFrom="margin">
                    <wp:posOffset>6675120</wp:posOffset>
                  </wp:positionV>
                  <wp:extent cx="4991100" cy="1126490"/>
                  <wp:effectExtent l="0" t="0" r="19050" b="16510"/>
                  <wp:wrapNone/>
                  <wp:docPr id="6" name="Rectangle: Diagonal Corners Rounded 6"/>
                  <wp:cNvGraphicFramePr/>
                  <a:graphic xmlns:a="http://schemas.openxmlformats.org/drawingml/2006/main">
                    <a:graphicData uri="http://schemas.microsoft.com/office/word/2010/wordprocessingShape">
                      <wps:wsp>
                        <wps:cNvSpPr/>
                        <wps:spPr>
                          <a:xfrm flipH="1">
                            <a:off x="0" y="0"/>
                            <a:ext cx="4991100" cy="1126490"/>
                          </a:xfrm>
                          <a:prstGeom prst="round2Diag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CE1E9C" w14:textId="5265BACC" w:rsidR="00AD10CF" w:rsidRPr="004360E3" w:rsidRDefault="00D054CF" w:rsidP="00AD10CF">
                              <w:pPr>
                                <w:pStyle w:val="Footer"/>
                                <w:jc w:val="center"/>
                                <w:rPr>
                                  <w:sz w:val="20"/>
                                  <w:szCs w:val="20"/>
                                </w:rPr>
                              </w:pPr>
                              <w:r w:rsidRPr="00D054CF">
                                <w:rPr>
                                  <w:sz w:val="20"/>
                                  <w:szCs w:val="20"/>
                                </w:rPr>
                                <w:t>admin@tuberous-sclerosis.org</w:t>
                              </w:r>
                              <w:r>
                                <w:rPr>
                                  <w:sz w:val="20"/>
                                  <w:szCs w:val="20"/>
                                </w:rPr>
                                <w:t xml:space="preserve"> | support@tuberous-sclerosis.org</w:t>
                              </w:r>
                            </w:p>
                            <w:p w14:paraId="017926F5" w14:textId="42F157CB" w:rsidR="00AD10CF" w:rsidRPr="004360E3" w:rsidRDefault="00AD10CF" w:rsidP="00AD10CF">
                              <w:pPr>
                                <w:pStyle w:val="Footer"/>
                                <w:jc w:val="center"/>
                                <w:rPr>
                                  <w:sz w:val="20"/>
                                  <w:szCs w:val="20"/>
                                </w:rPr>
                              </w:pPr>
                              <w:r w:rsidRPr="004360E3">
                                <w:rPr>
                                  <w:sz w:val="20"/>
                                  <w:szCs w:val="20"/>
                                </w:rPr>
                                <w:t xml:space="preserve">Main </w:t>
                              </w:r>
                              <w:r w:rsidR="00D054CF">
                                <w:rPr>
                                  <w:sz w:val="20"/>
                                  <w:szCs w:val="20"/>
                                </w:rPr>
                                <w:t>s</w:t>
                              </w:r>
                              <w:r w:rsidRPr="004360E3">
                                <w:rPr>
                                  <w:sz w:val="20"/>
                                  <w:szCs w:val="20"/>
                                </w:rPr>
                                <w:t>witchboard: 0300 222 5737</w:t>
                              </w:r>
                              <w:r w:rsidR="00D054CF">
                                <w:rPr>
                                  <w:sz w:val="20"/>
                                  <w:szCs w:val="20"/>
                                </w:rPr>
                                <w:t xml:space="preserve"> | TSA Support Line: </w:t>
                              </w:r>
                              <w:r w:rsidR="00D054CF" w:rsidRPr="00D054CF">
                                <w:rPr>
                                  <w:sz w:val="20"/>
                                  <w:szCs w:val="20"/>
                                </w:rPr>
                                <w:t>0808 801 0700</w:t>
                              </w:r>
                            </w:p>
                            <w:p w14:paraId="32406A9B" w14:textId="13CF1BFA" w:rsidR="00125E8C" w:rsidRDefault="00125E8C" w:rsidP="00AD10CF">
                              <w:pPr>
                                <w:spacing w:after="0"/>
                                <w:jc w:val="center"/>
                                <w:rPr>
                                  <w:sz w:val="20"/>
                                  <w:szCs w:val="20"/>
                                </w:rPr>
                              </w:pPr>
                              <w:r w:rsidRPr="00125E8C">
                                <w:rPr>
                                  <w:sz w:val="20"/>
                                  <w:szCs w:val="20"/>
                                </w:rPr>
                                <w:t>The TSA, c/o Nightingale House, 46-48 East Street, Epsom, Surrey, KT17 1HQ</w:t>
                              </w:r>
                            </w:p>
                            <w:p w14:paraId="7C72B6E3" w14:textId="37BB9498" w:rsidR="0008779D" w:rsidRPr="00AD10CF" w:rsidRDefault="00AD10CF" w:rsidP="00AD10CF">
                              <w:pPr>
                                <w:spacing w:after="0"/>
                                <w:jc w:val="center"/>
                                <w:rPr>
                                  <w:sz w:val="20"/>
                                  <w:szCs w:val="20"/>
                                </w:rPr>
                              </w:pPr>
                              <w:r w:rsidRPr="004360E3">
                                <w:rPr>
                                  <w:sz w:val="20"/>
                                  <w:szCs w:val="20"/>
                                </w:rPr>
                                <w:t>Charity number: 1039549 (England &amp; Wales), SC042780 (Scotland)</w:t>
                              </w:r>
                            </w:p>
                          </w:txbxContent>
                        </wps:txbx>
                        <wps:bodyPr rot="0" spcFirstLastPara="0" vertOverflow="overflow" horzOverflow="overflow" vert="horz" wrap="square" lIns="91440" tIns="93600" rIns="91440" bIns="9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01CDE" id="Rectangle: Diagonal Corners Rounded 6" o:spid="_x0000_s1026" style="position:absolute;left:0;text-align:left;margin-left:0;margin-top:525.6pt;width:393pt;height:88.7pt;flip:x;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4991100,11264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" adj="-11796480,,5400" path="m187752,l4991100,r,l4991100,938738v,103693,-84059,187752,-187752,187752l,1126490r,l,187752c,84059,84059,,187752,xe" filled="f" strokecolor="#6cc24a [3215]" strokeweight="2pt">
                  <v:stroke joinstyle="miter"/>
                  <v:formulas/>
                  <v:path arrowok="t" o:connecttype="custom" o:connectlocs="187752,0;4991100,0;4991100,0;4991100,938738;4803348,1126490;0,1126490;0,1126490;0,187752;187752,0" o:connectangles="0,0,0,0,0,0,0,0,0" textboxrect="0,0,4991100,1126490"/>
                  <v:textbox inset=",2.6mm,,2.6mm">
                    <w:txbxContent>
                      <w:p w14:paraId="5FCE1E9C" w14:textId="5265BACC" w:rsidR="00AD10CF" w:rsidRPr="004360E3" w:rsidRDefault="00D054CF" w:rsidP="00AD10CF">
                        <w:pPr>
                          <w:pStyle w:val="Footer"/>
                          <w:jc w:val="center"/>
                          <w:rPr>
                            <w:sz w:val="20"/>
                            <w:szCs w:val="20"/>
                          </w:rPr>
                        </w:pPr>
                        <w:r w:rsidRPr="00D054CF">
                          <w:rPr>
                            <w:sz w:val="20"/>
                            <w:szCs w:val="20"/>
                          </w:rPr>
                          <w:t>admin@tuberous-sclerosis.org</w:t>
                        </w:r>
                        <w:r>
                          <w:rPr>
                            <w:sz w:val="20"/>
                            <w:szCs w:val="20"/>
                          </w:rPr>
                          <w:t xml:space="preserve"> | support@tuberous-sclerosis.org</w:t>
                        </w:r>
                      </w:p>
                      <w:p w14:paraId="017926F5" w14:textId="42F157CB" w:rsidR="00AD10CF" w:rsidRPr="004360E3" w:rsidRDefault="00AD10CF" w:rsidP="00AD10CF">
                        <w:pPr>
                          <w:pStyle w:val="Footer"/>
                          <w:jc w:val="center"/>
                          <w:rPr>
                            <w:sz w:val="20"/>
                            <w:szCs w:val="20"/>
                          </w:rPr>
                        </w:pPr>
                        <w:r w:rsidRPr="004360E3">
                          <w:rPr>
                            <w:sz w:val="20"/>
                            <w:szCs w:val="20"/>
                          </w:rPr>
                          <w:t xml:space="preserve">Main </w:t>
                        </w:r>
                        <w:r w:rsidR="00D054CF">
                          <w:rPr>
                            <w:sz w:val="20"/>
                            <w:szCs w:val="20"/>
                          </w:rPr>
                          <w:t>s</w:t>
                        </w:r>
                        <w:r w:rsidRPr="004360E3">
                          <w:rPr>
                            <w:sz w:val="20"/>
                            <w:szCs w:val="20"/>
                          </w:rPr>
                          <w:t>witchboard: 0300 222 5737</w:t>
                        </w:r>
                        <w:r w:rsidR="00D054CF">
                          <w:rPr>
                            <w:sz w:val="20"/>
                            <w:szCs w:val="20"/>
                          </w:rPr>
                          <w:t xml:space="preserve"> | TSA Support Line: </w:t>
                        </w:r>
                        <w:r w:rsidR="00D054CF" w:rsidRPr="00D054CF">
                          <w:rPr>
                            <w:sz w:val="20"/>
                            <w:szCs w:val="20"/>
                          </w:rPr>
                          <w:t>0808 801 0700</w:t>
                        </w:r>
                      </w:p>
                      <w:p w14:paraId="32406A9B" w14:textId="13CF1BFA" w:rsidR="00125E8C" w:rsidRDefault="00125E8C" w:rsidP="00AD10CF">
                        <w:pPr>
                          <w:spacing w:after="0"/>
                          <w:jc w:val="center"/>
                          <w:rPr>
                            <w:sz w:val="20"/>
                            <w:szCs w:val="20"/>
                          </w:rPr>
                        </w:pPr>
                        <w:r w:rsidRPr="00125E8C">
                          <w:rPr>
                            <w:sz w:val="20"/>
                            <w:szCs w:val="20"/>
                          </w:rPr>
                          <w:t>The TSA, c/o Nightingale House, 46-48 East Street, Epsom, Surrey, KT17 1HQ</w:t>
                        </w:r>
                      </w:p>
                      <w:p w14:paraId="7C72B6E3" w14:textId="37BB9498" w:rsidR="0008779D" w:rsidRPr="00AD10CF" w:rsidRDefault="00AD10CF" w:rsidP="00AD10CF">
                        <w:pPr>
                          <w:spacing w:after="0"/>
                          <w:jc w:val="center"/>
                          <w:rPr>
                            <w:sz w:val="20"/>
                            <w:szCs w:val="20"/>
                          </w:rPr>
                        </w:pPr>
                        <w:r w:rsidRPr="004360E3">
                          <w:rPr>
                            <w:sz w:val="20"/>
                            <w:szCs w:val="20"/>
                          </w:rPr>
                          <w:t>Charity number: 1039549 (England &amp; Wales), SC042780 (Scotland)</w:t>
                        </w:r>
                      </w:p>
                    </w:txbxContent>
                  </v:textbox>
                  <w10:wrap anchorx="margin" anchory="margin"/>
                </v:shape>
              </w:pict>
            </mc:Fallback>
          </mc:AlternateContent>
        </w:r>
        <w:r w:rsidR="00B251C5" w:rsidRPr="0008779D">
          <w:rPr>
            <w:noProof/>
          </w:rPr>
          <w:drawing>
            <wp:anchor distT="0" distB="0" distL="114300" distR="114300" simplePos="0" relativeHeight="251663360" behindDoc="0" locked="0" layoutInCell="1" allowOverlap="1" wp14:anchorId="0D5BEE83" wp14:editId="27A0C190">
              <wp:simplePos x="0" y="0"/>
              <wp:positionH relativeFrom="margin">
                <wp:posOffset>5089525</wp:posOffset>
              </wp:positionH>
              <wp:positionV relativeFrom="paragraph">
                <wp:posOffset>93790</wp:posOffset>
              </wp:positionV>
              <wp:extent cx="1458595" cy="44386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595" cy="443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E09CB5" w14:textId="3158BAC9" w:rsidR="000C30DE" w:rsidRDefault="000C30DE">
        <w:pPr>
          <w:pStyle w:val="Footer"/>
          <w:jc w:val="center"/>
          <w:rPr>
            <w:b/>
          </w:rPr>
        </w:pPr>
      </w:p>
      <w:p w14:paraId="75AE8577" w14:textId="77777777" w:rsidR="000C30DE" w:rsidRDefault="000C30DE">
        <w:pPr>
          <w:pStyle w:val="Footer"/>
          <w:jc w:val="center"/>
          <w:rPr>
            <w:b/>
          </w:rPr>
        </w:pPr>
      </w:p>
      <w:p w14:paraId="6B71BD6B" w14:textId="402D0BE7" w:rsidR="000C30DE" w:rsidRDefault="00B251C5">
        <w:pPr>
          <w:pStyle w:val="Footer"/>
          <w:jc w:val="center"/>
          <w:rPr>
            <w:b/>
          </w:rPr>
        </w:pPr>
        <w:r w:rsidRPr="0008779D">
          <w:rPr>
            <w:noProof/>
          </w:rPr>
          <w:drawing>
            <wp:anchor distT="0" distB="0" distL="114300" distR="114300" simplePos="0" relativeHeight="251664384" behindDoc="0" locked="0" layoutInCell="1" allowOverlap="1" wp14:anchorId="30D736C5" wp14:editId="59A6767E">
              <wp:simplePos x="0" y="0"/>
              <wp:positionH relativeFrom="margin">
                <wp:posOffset>5346065</wp:posOffset>
              </wp:positionH>
              <wp:positionV relativeFrom="paragraph">
                <wp:posOffset>97600</wp:posOffset>
              </wp:positionV>
              <wp:extent cx="1202055" cy="347980"/>
              <wp:effectExtent l="0" t="0" r="0" b="0"/>
              <wp:wrapNone/>
              <wp:docPr id="1" name="Picture 1" descr="C:\Users\Luke.Langlands\AppData\Local\Microsoft\Windows\INetCache\Content.MSO\8B7DCD5E.tmp">
                <a:hlinkClick xmlns:a="http://schemas.openxmlformats.org/drawingml/2006/main" r:id="rId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e.Langlands\AppData\Local\Microsoft\Windows\INetCache\Content.MSO\8B7DCD5E.t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2055" cy="347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5AC8BA" w14:textId="77777777" w:rsidR="000C30DE" w:rsidRDefault="000C30DE">
        <w:pPr>
          <w:pStyle w:val="Footer"/>
          <w:jc w:val="center"/>
          <w:rPr>
            <w:b/>
          </w:rPr>
        </w:pPr>
      </w:p>
      <w:p w14:paraId="5585AAB1" w14:textId="7FDE1E51" w:rsidR="000C30DE" w:rsidRDefault="000C30DE">
        <w:pPr>
          <w:pStyle w:val="Footer"/>
          <w:jc w:val="center"/>
          <w:rPr>
            <w:b/>
          </w:rPr>
        </w:pPr>
      </w:p>
      <w:p w14:paraId="073E0F1A" w14:textId="77777777" w:rsidR="0008779D" w:rsidRDefault="0008779D">
        <w:pPr>
          <w:pStyle w:val="Footer"/>
          <w:jc w:val="center"/>
          <w:rPr>
            <w:b/>
          </w:rPr>
        </w:pPr>
      </w:p>
      <w:p w14:paraId="25644414" w14:textId="77777777" w:rsidR="005E4BDF" w:rsidRDefault="005E4BDF">
        <w:pPr>
          <w:pStyle w:val="Footer"/>
          <w:jc w:val="center"/>
        </w:pPr>
      </w:p>
      <w:p w14:paraId="3762102E" w14:textId="0F8CBE11" w:rsidR="000C30DE" w:rsidRPr="00B251C5" w:rsidRDefault="000C30DE">
        <w:pPr>
          <w:pStyle w:val="Footer"/>
          <w:jc w:val="center"/>
        </w:pPr>
        <w:r w:rsidRPr="00B251C5">
          <w:fldChar w:fldCharType="begin"/>
        </w:r>
        <w:r w:rsidRPr="00B251C5">
          <w:instrText xml:space="preserve"> PAGE   \* MERGEFORMAT </w:instrText>
        </w:r>
        <w:r w:rsidRPr="00B251C5">
          <w:fldChar w:fldCharType="separate"/>
        </w:r>
        <w:r w:rsidRPr="00B251C5">
          <w:rPr>
            <w:noProof/>
          </w:rPr>
          <w:t>2</w:t>
        </w:r>
        <w:r w:rsidRPr="00B251C5">
          <w:rPr>
            <w:noProof/>
          </w:rPr>
          <w:fldChar w:fldCharType="end"/>
        </w:r>
      </w:p>
    </w:sdtContent>
  </w:sdt>
  <w:p w14:paraId="5273CDCE" w14:textId="77777777" w:rsidR="005E4BDF" w:rsidRDefault="005E4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66E55" w14:textId="77777777" w:rsidR="0015425C" w:rsidRDefault="0015425C" w:rsidP="007F5C0F">
      <w:r>
        <w:separator/>
      </w:r>
    </w:p>
  </w:footnote>
  <w:footnote w:type="continuationSeparator" w:id="0">
    <w:p w14:paraId="76C59AA3" w14:textId="77777777" w:rsidR="0015425C" w:rsidRDefault="0015425C" w:rsidP="007F5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5C0E9" w14:textId="2124843A" w:rsidR="000C30DE" w:rsidRDefault="000C30DE">
    <w:pPr>
      <w:pStyle w:val="Header"/>
    </w:pPr>
    <w:r>
      <w:rPr>
        <w:noProof/>
      </w:rPr>
      <w:drawing>
        <wp:anchor distT="0" distB="0" distL="114300" distR="114300" simplePos="0" relativeHeight="251660288" behindDoc="0" locked="0" layoutInCell="1" allowOverlap="1" wp14:anchorId="394364A7" wp14:editId="136A7F67">
          <wp:simplePos x="0" y="0"/>
          <wp:positionH relativeFrom="column">
            <wp:posOffset>4357370</wp:posOffset>
          </wp:positionH>
          <wp:positionV relativeFrom="paragraph">
            <wp:posOffset>-55245</wp:posOffset>
          </wp:positionV>
          <wp:extent cx="2186940" cy="2118995"/>
          <wp:effectExtent l="0" t="0" r="3810" b="0"/>
          <wp:wrapNone/>
          <wp:docPr id="9" name="Picture 8">
            <a:extLst xmlns:a="http://schemas.openxmlformats.org/drawingml/2006/main">
              <a:ext uri="{FF2B5EF4-FFF2-40B4-BE49-F238E27FC236}">
                <a16:creationId xmlns:a16="http://schemas.microsoft.com/office/drawing/2014/main" id="{F5754B9A-B5A4-419F-8F56-30FB24B52611}"/>
              </a:ext>
            </a:extLst>
          </wp:docPr>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5754B9A-B5A4-419F-8F56-30FB24B52611}"/>
                      </a:ext>
                    </a:extLst>
                  </pic:cNvPr>
                  <pic:cNvPicPr/>
                </pic:nvPicPr>
                <pic:blipFill rotWithShape="1">
                  <a:blip r:embed="rId1">
                    <a:extLst>
                      <a:ext uri="{28A0092B-C50C-407E-A947-70E740481C1C}">
                        <a14:useLocalDpi xmlns:a14="http://schemas.microsoft.com/office/drawing/2010/main" val="0"/>
                      </a:ext>
                    </a:extLst>
                  </a:blip>
                  <a:srcRect l="63984" r="6877"/>
                  <a:stretch/>
                </pic:blipFill>
                <pic:spPr bwMode="auto">
                  <a:xfrm>
                    <a:off x="0" y="0"/>
                    <a:ext cx="2186940" cy="2118995"/>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14:anchorId="68CC40B4" wp14:editId="258E39D3">
          <wp:simplePos x="0" y="0"/>
          <wp:positionH relativeFrom="column">
            <wp:posOffset>0</wp:posOffset>
          </wp:positionH>
          <wp:positionV relativeFrom="paragraph">
            <wp:posOffset>-65011</wp:posOffset>
          </wp:positionV>
          <wp:extent cx="1686560" cy="2118995"/>
          <wp:effectExtent l="0" t="0" r="8890" b="0"/>
          <wp:wrapNone/>
          <wp:docPr id="8" name="Picture 7">
            <a:extLst xmlns:a="http://schemas.openxmlformats.org/drawingml/2006/main">
              <a:ext uri="{FF2B5EF4-FFF2-40B4-BE49-F238E27FC236}">
                <a16:creationId xmlns:a16="http://schemas.microsoft.com/office/drawing/2014/main" id="{1B1CFE07-4F71-4460-A847-305020BB8762}"/>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1B1CFE07-4F71-4460-A847-305020BB8762}"/>
                      </a:ext>
                    </a:extLst>
                  </pic:cNvPr>
                  <pic:cNvPicPr/>
                </pic:nvPicPr>
                <pic:blipFill rotWithShape="1">
                  <a:blip r:embed="rId1">
                    <a:extLst>
                      <a:ext uri="{28A0092B-C50C-407E-A947-70E740481C1C}">
                        <a14:useLocalDpi xmlns:a14="http://schemas.microsoft.com/office/drawing/2010/main" val="0"/>
                      </a:ext>
                    </a:extLst>
                  </a:blip>
                  <a:srcRect l="6250" r="71277"/>
                  <a:stretch/>
                </pic:blipFill>
                <pic:spPr bwMode="auto">
                  <a:xfrm>
                    <a:off x="0" y="0"/>
                    <a:ext cx="1686560" cy="2118995"/>
                  </a:xfrm>
                  <a:prstGeom prst="rect">
                    <a:avLst/>
                  </a:prstGeom>
                  <a:noFill/>
                  <a:ln w="9525">
                    <a:noFill/>
                    <a:miter lim="800000"/>
                    <a:headEnd/>
                    <a:tailEnd/>
                  </a:ln>
                </pic:spPr>
              </pic:pic>
            </a:graphicData>
          </a:graphic>
        </wp:anchor>
      </w:drawing>
    </w:r>
  </w:p>
  <w:p w14:paraId="13E5E3B3" w14:textId="77777777" w:rsidR="000C30DE" w:rsidRDefault="000C30DE">
    <w:pPr>
      <w:pStyle w:val="Header"/>
    </w:pPr>
  </w:p>
  <w:p w14:paraId="0F642246" w14:textId="77777777" w:rsidR="000C30DE" w:rsidRDefault="000C30DE">
    <w:pPr>
      <w:pStyle w:val="Header"/>
    </w:pPr>
  </w:p>
  <w:p w14:paraId="46B39E16" w14:textId="6084F5F5" w:rsidR="000C30DE" w:rsidRDefault="000C30DE">
    <w:pPr>
      <w:pStyle w:val="Header"/>
    </w:pPr>
  </w:p>
  <w:p w14:paraId="591ADAAF" w14:textId="77A651E1" w:rsidR="000C30DE" w:rsidRDefault="000C30DE">
    <w:pPr>
      <w:pStyle w:val="Header"/>
    </w:pPr>
  </w:p>
  <w:p w14:paraId="7A7E6141" w14:textId="77777777" w:rsidR="000C30DE" w:rsidRDefault="000C30DE">
    <w:pPr>
      <w:pStyle w:val="Header"/>
    </w:pPr>
  </w:p>
  <w:p w14:paraId="35BA3313" w14:textId="380DE304" w:rsidR="000C30DE" w:rsidRDefault="000C30DE">
    <w:pPr>
      <w:pStyle w:val="Header"/>
    </w:pPr>
  </w:p>
  <w:p w14:paraId="77DD02CC" w14:textId="77777777" w:rsidR="000C30DE" w:rsidRDefault="000C30DE">
    <w:pPr>
      <w:pStyle w:val="Header"/>
    </w:pPr>
  </w:p>
  <w:p w14:paraId="341B4785" w14:textId="4D78668A" w:rsidR="000C30DE" w:rsidRDefault="000C30DE">
    <w:pPr>
      <w:pStyle w:val="Header"/>
    </w:pPr>
  </w:p>
  <w:p w14:paraId="1F029141" w14:textId="77777777" w:rsidR="000C30DE" w:rsidRDefault="000C30DE">
    <w:pPr>
      <w:pStyle w:val="Header"/>
    </w:pPr>
  </w:p>
  <w:p w14:paraId="20628452" w14:textId="0198514E" w:rsidR="000C30DE" w:rsidRDefault="000C30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E5C72"/>
    <w:multiLevelType w:val="multilevel"/>
    <w:tmpl w:val="ACF6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5211B"/>
    <w:multiLevelType w:val="multilevel"/>
    <w:tmpl w:val="8F06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45527A"/>
    <w:multiLevelType w:val="hybridMultilevel"/>
    <w:tmpl w:val="13B8D4CC"/>
    <w:lvl w:ilvl="0" w:tplc="3F061D80">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EE7995"/>
    <w:multiLevelType w:val="multilevel"/>
    <w:tmpl w:val="405C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0430BB"/>
    <w:multiLevelType w:val="hybridMultilevel"/>
    <w:tmpl w:val="73482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F23534"/>
    <w:multiLevelType w:val="multilevel"/>
    <w:tmpl w:val="81701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327AE8"/>
    <w:multiLevelType w:val="hybridMultilevel"/>
    <w:tmpl w:val="D5F00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FA28BB"/>
    <w:multiLevelType w:val="hybridMultilevel"/>
    <w:tmpl w:val="75C20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F364A98"/>
    <w:multiLevelType w:val="multilevel"/>
    <w:tmpl w:val="EC34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002BB"/>
    <w:multiLevelType w:val="hybridMultilevel"/>
    <w:tmpl w:val="779AF1C2"/>
    <w:lvl w:ilvl="0" w:tplc="321EF67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C762B3"/>
    <w:multiLevelType w:val="multilevel"/>
    <w:tmpl w:val="611C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83193D"/>
    <w:multiLevelType w:val="multilevel"/>
    <w:tmpl w:val="FDA2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AB3CE7"/>
    <w:multiLevelType w:val="multilevel"/>
    <w:tmpl w:val="609819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F6352EB"/>
    <w:multiLevelType w:val="multilevel"/>
    <w:tmpl w:val="A52C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AA1338"/>
    <w:multiLevelType w:val="multilevel"/>
    <w:tmpl w:val="EE42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FA26BC"/>
    <w:multiLevelType w:val="multilevel"/>
    <w:tmpl w:val="5CF4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F09E5"/>
    <w:multiLevelType w:val="hybridMultilevel"/>
    <w:tmpl w:val="93605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5D68A3"/>
    <w:multiLevelType w:val="hybridMultilevel"/>
    <w:tmpl w:val="0EB820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D6C62A1"/>
    <w:multiLevelType w:val="multilevel"/>
    <w:tmpl w:val="2252FAE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56841458">
    <w:abstractNumId w:val="9"/>
  </w:num>
  <w:num w:numId="2" w16cid:durableId="663824154">
    <w:abstractNumId w:val="2"/>
  </w:num>
  <w:num w:numId="3" w16cid:durableId="1200817975">
    <w:abstractNumId w:val="7"/>
  </w:num>
  <w:num w:numId="4" w16cid:durableId="1758289172">
    <w:abstractNumId w:val="17"/>
  </w:num>
  <w:num w:numId="5" w16cid:durableId="225461648">
    <w:abstractNumId w:val="18"/>
  </w:num>
  <w:num w:numId="6" w16cid:durableId="215626657">
    <w:abstractNumId w:val="12"/>
  </w:num>
  <w:num w:numId="7" w16cid:durableId="170721650">
    <w:abstractNumId w:val="6"/>
  </w:num>
  <w:num w:numId="8" w16cid:durableId="1742756915">
    <w:abstractNumId w:val="16"/>
  </w:num>
  <w:num w:numId="9" w16cid:durableId="1371953949">
    <w:abstractNumId w:val="4"/>
  </w:num>
  <w:num w:numId="10" w16cid:durableId="781653243">
    <w:abstractNumId w:val="0"/>
  </w:num>
  <w:num w:numId="11" w16cid:durableId="96023205">
    <w:abstractNumId w:val="5"/>
  </w:num>
  <w:num w:numId="12" w16cid:durableId="348601284">
    <w:abstractNumId w:val="13"/>
  </w:num>
  <w:num w:numId="13" w16cid:durableId="273556979">
    <w:abstractNumId w:val="1"/>
  </w:num>
  <w:num w:numId="14" w16cid:durableId="392706114">
    <w:abstractNumId w:val="8"/>
  </w:num>
  <w:num w:numId="15" w16cid:durableId="43455474">
    <w:abstractNumId w:val="14"/>
  </w:num>
  <w:num w:numId="16" w16cid:durableId="1792555968">
    <w:abstractNumId w:val="15"/>
  </w:num>
  <w:num w:numId="17" w16cid:durableId="118766531">
    <w:abstractNumId w:val="3"/>
  </w:num>
  <w:num w:numId="18" w16cid:durableId="1471825113">
    <w:abstractNumId w:val="11"/>
  </w:num>
  <w:num w:numId="19" w16cid:durableId="829242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48C"/>
    <w:rsid w:val="0000669A"/>
    <w:rsid w:val="00011E15"/>
    <w:rsid w:val="00021D76"/>
    <w:rsid w:val="0008677C"/>
    <w:rsid w:val="0008779D"/>
    <w:rsid w:val="000B3CF5"/>
    <w:rsid w:val="000B6F7E"/>
    <w:rsid w:val="000C30DE"/>
    <w:rsid w:val="000E09B8"/>
    <w:rsid w:val="000E10F4"/>
    <w:rsid w:val="000E69D2"/>
    <w:rsid w:val="00105F32"/>
    <w:rsid w:val="00120CC0"/>
    <w:rsid w:val="001214C7"/>
    <w:rsid w:val="00125E8C"/>
    <w:rsid w:val="0012627F"/>
    <w:rsid w:val="00126F4A"/>
    <w:rsid w:val="001373B5"/>
    <w:rsid w:val="0015425C"/>
    <w:rsid w:val="001A074B"/>
    <w:rsid w:val="001B1D65"/>
    <w:rsid w:val="001B5F6F"/>
    <w:rsid w:val="001D72E2"/>
    <w:rsid w:val="001E38F9"/>
    <w:rsid w:val="002179CA"/>
    <w:rsid w:val="00220E90"/>
    <w:rsid w:val="00236138"/>
    <w:rsid w:val="00241497"/>
    <w:rsid w:val="00243D50"/>
    <w:rsid w:val="00255579"/>
    <w:rsid w:val="0027361F"/>
    <w:rsid w:val="00281020"/>
    <w:rsid w:val="002A234B"/>
    <w:rsid w:val="002A4D98"/>
    <w:rsid w:val="002A769C"/>
    <w:rsid w:val="002B552D"/>
    <w:rsid w:val="002B7034"/>
    <w:rsid w:val="002C6CE3"/>
    <w:rsid w:val="002E23FD"/>
    <w:rsid w:val="002E636C"/>
    <w:rsid w:val="00301244"/>
    <w:rsid w:val="003025F6"/>
    <w:rsid w:val="0032626B"/>
    <w:rsid w:val="0038648D"/>
    <w:rsid w:val="003B7470"/>
    <w:rsid w:val="003C6E2A"/>
    <w:rsid w:val="00401FDD"/>
    <w:rsid w:val="004056F8"/>
    <w:rsid w:val="00413848"/>
    <w:rsid w:val="00415DF5"/>
    <w:rsid w:val="00420F61"/>
    <w:rsid w:val="00431A2A"/>
    <w:rsid w:val="00433633"/>
    <w:rsid w:val="00435E0B"/>
    <w:rsid w:val="00454481"/>
    <w:rsid w:val="00466F2C"/>
    <w:rsid w:val="004A3291"/>
    <w:rsid w:val="004A5771"/>
    <w:rsid w:val="004B03A1"/>
    <w:rsid w:val="004D6F9B"/>
    <w:rsid w:val="00530906"/>
    <w:rsid w:val="0055391D"/>
    <w:rsid w:val="005624C1"/>
    <w:rsid w:val="0058348C"/>
    <w:rsid w:val="0058679F"/>
    <w:rsid w:val="00587425"/>
    <w:rsid w:val="005A4B3E"/>
    <w:rsid w:val="005A5886"/>
    <w:rsid w:val="005D5395"/>
    <w:rsid w:val="005D7492"/>
    <w:rsid w:val="005D7BE1"/>
    <w:rsid w:val="005E4BDF"/>
    <w:rsid w:val="005F5A7F"/>
    <w:rsid w:val="00630946"/>
    <w:rsid w:val="00645774"/>
    <w:rsid w:val="006740F8"/>
    <w:rsid w:val="0067541C"/>
    <w:rsid w:val="006A50AF"/>
    <w:rsid w:val="006E4059"/>
    <w:rsid w:val="006E768F"/>
    <w:rsid w:val="006F24D5"/>
    <w:rsid w:val="006F7AD0"/>
    <w:rsid w:val="0070705C"/>
    <w:rsid w:val="00710674"/>
    <w:rsid w:val="00746418"/>
    <w:rsid w:val="007623CB"/>
    <w:rsid w:val="0078267D"/>
    <w:rsid w:val="007C352A"/>
    <w:rsid w:val="007F1086"/>
    <w:rsid w:val="007F5C0F"/>
    <w:rsid w:val="00811568"/>
    <w:rsid w:val="008211D6"/>
    <w:rsid w:val="0082163B"/>
    <w:rsid w:val="0082453B"/>
    <w:rsid w:val="008564A5"/>
    <w:rsid w:val="00861D44"/>
    <w:rsid w:val="008658C0"/>
    <w:rsid w:val="008878E6"/>
    <w:rsid w:val="00972259"/>
    <w:rsid w:val="009A49F7"/>
    <w:rsid w:val="009A6F67"/>
    <w:rsid w:val="009B378F"/>
    <w:rsid w:val="009B4396"/>
    <w:rsid w:val="009E3789"/>
    <w:rsid w:val="009F29CE"/>
    <w:rsid w:val="00A20A01"/>
    <w:rsid w:val="00A2695B"/>
    <w:rsid w:val="00A5059E"/>
    <w:rsid w:val="00A656EB"/>
    <w:rsid w:val="00A83AA5"/>
    <w:rsid w:val="00A919D7"/>
    <w:rsid w:val="00AD10CF"/>
    <w:rsid w:val="00AD4754"/>
    <w:rsid w:val="00AF55E5"/>
    <w:rsid w:val="00B251C5"/>
    <w:rsid w:val="00B32005"/>
    <w:rsid w:val="00B4104F"/>
    <w:rsid w:val="00B4777C"/>
    <w:rsid w:val="00B71135"/>
    <w:rsid w:val="00BE0141"/>
    <w:rsid w:val="00BE70CC"/>
    <w:rsid w:val="00C50F57"/>
    <w:rsid w:val="00C673F4"/>
    <w:rsid w:val="00C77904"/>
    <w:rsid w:val="00C8736D"/>
    <w:rsid w:val="00C90536"/>
    <w:rsid w:val="00C906DC"/>
    <w:rsid w:val="00CA386A"/>
    <w:rsid w:val="00CB736A"/>
    <w:rsid w:val="00CD7EAC"/>
    <w:rsid w:val="00CE541D"/>
    <w:rsid w:val="00CF44C5"/>
    <w:rsid w:val="00CF4518"/>
    <w:rsid w:val="00D00C81"/>
    <w:rsid w:val="00D054CF"/>
    <w:rsid w:val="00D5609A"/>
    <w:rsid w:val="00D77412"/>
    <w:rsid w:val="00DB03FC"/>
    <w:rsid w:val="00DD4759"/>
    <w:rsid w:val="00DE238D"/>
    <w:rsid w:val="00DF6573"/>
    <w:rsid w:val="00E2304F"/>
    <w:rsid w:val="00E26843"/>
    <w:rsid w:val="00E30A02"/>
    <w:rsid w:val="00E332F7"/>
    <w:rsid w:val="00E35B68"/>
    <w:rsid w:val="00E70522"/>
    <w:rsid w:val="00E7642D"/>
    <w:rsid w:val="00EB16E0"/>
    <w:rsid w:val="00EE0F55"/>
    <w:rsid w:val="00F01F7F"/>
    <w:rsid w:val="00F20009"/>
    <w:rsid w:val="00F22953"/>
    <w:rsid w:val="00F23D8D"/>
    <w:rsid w:val="00F274F5"/>
    <w:rsid w:val="00F307FA"/>
    <w:rsid w:val="00F43AAB"/>
    <w:rsid w:val="00F60587"/>
    <w:rsid w:val="00F64988"/>
    <w:rsid w:val="00F77A7C"/>
    <w:rsid w:val="00FF34AE"/>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6DA10"/>
  <w15:docId w15:val="{C3838CB4-A2B6-7F4C-88F2-039FC51B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C0F"/>
    <w:rPr>
      <w:rFonts w:ascii="Arial" w:hAnsi="Arial" w:cs="Arial"/>
    </w:rPr>
  </w:style>
  <w:style w:type="paragraph" w:styleId="Heading1">
    <w:name w:val="heading 1"/>
    <w:basedOn w:val="Normal"/>
    <w:next w:val="Normal"/>
    <w:link w:val="Heading1Char"/>
    <w:uiPriority w:val="9"/>
    <w:qFormat/>
    <w:rsid w:val="005D7BE1"/>
    <w:pPr>
      <w:outlineLvl w:val="0"/>
    </w:pPr>
    <w:rPr>
      <w:b/>
      <w:color w:val="6CC24A"/>
      <w:sz w:val="48"/>
      <w:szCs w:val="48"/>
    </w:rPr>
  </w:style>
  <w:style w:type="paragraph" w:styleId="Heading2">
    <w:name w:val="heading 2"/>
    <w:basedOn w:val="Normal"/>
    <w:next w:val="Normal"/>
    <w:link w:val="Heading2Char"/>
    <w:uiPriority w:val="9"/>
    <w:unhideWhenUsed/>
    <w:qFormat/>
    <w:rsid w:val="005D7BE1"/>
    <w:pPr>
      <w:outlineLvl w:val="1"/>
    </w:pPr>
    <w:rPr>
      <w:b/>
      <w:color w:val="6CC24A"/>
      <w:sz w:val="32"/>
      <w:szCs w:val="32"/>
    </w:rPr>
  </w:style>
  <w:style w:type="paragraph" w:styleId="Heading3">
    <w:name w:val="heading 3"/>
    <w:basedOn w:val="Heading2"/>
    <w:next w:val="Normal"/>
    <w:link w:val="Heading3Char"/>
    <w:uiPriority w:val="9"/>
    <w:unhideWhenUsed/>
    <w:qFormat/>
    <w:rsid w:val="00120CC0"/>
    <w:pPr>
      <w:outlineLvl w:val="2"/>
    </w:pPr>
    <w:rPr>
      <w:b w:val="0"/>
      <w:sz w:val="28"/>
    </w:rPr>
  </w:style>
  <w:style w:type="paragraph" w:styleId="Heading4">
    <w:name w:val="heading 4"/>
    <w:basedOn w:val="Normal"/>
    <w:next w:val="Normal"/>
    <w:link w:val="Heading4Char"/>
    <w:uiPriority w:val="9"/>
    <w:semiHidden/>
    <w:unhideWhenUsed/>
    <w:rsid w:val="005A5886"/>
    <w:pPr>
      <w:keepNext/>
      <w:keepLines/>
      <w:spacing w:before="40" w:after="0"/>
      <w:outlineLvl w:val="3"/>
    </w:pPr>
    <w:rPr>
      <w:rFonts w:asciiTheme="majorHAnsi" w:eastAsiaTheme="majorEastAsia" w:hAnsiTheme="majorHAnsi" w:cstheme="majorBidi"/>
      <w:i/>
      <w:iCs/>
      <w:color w:val="3D215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48C"/>
    <w:pPr>
      <w:tabs>
        <w:tab w:val="center" w:pos="4320"/>
        <w:tab w:val="right" w:pos="8640"/>
      </w:tabs>
      <w:spacing w:after="0"/>
    </w:pPr>
  </w:style>
  <w:style w:type="character" w:customStyle="1" w:styleId="HeaderChar">
    <w:name w:val="Header Char"/>
    <w:basedOn w:val="DefaultParagraphFont"/>
    <w:link w:val="Header"/>
    <w:uiPriority w:val="99"/>
    <w:rsid w:val="0058348C"/>
  </w:style>
  <w:style w:type="paragraph" w:styleId="Footer">
    <w:name w:val="footer"/>
    <w:basedOn w:val="Normal"/>
    <w:link w:val="FooterChar"/>
    <w:uiPriority w:val="99"/>
    <w:unhideWhenUsed/>
    <w:rsid w:val="0058348C"/>
    <w:pPr>
      <w:tabs>
        <w:tab w:val="center" w:pos="4320"/>
        <w:tab w:val="right" w:pos="8640"/>
      </w:tabs>
      <w:spacing w:after="0"/>
    </w:pPr>
  </w:style>
  <w:style w:type="character" w:customStyle="1" w:styleId="FooterChar">
    <w:name w:val="Footer Char"/>
    <w:basedOn w:val="DefaultParagraphFont"/>
    <w:link w:val="Footer"/>
    <w:uiPriority w:val="99"/>
    <w:rsid w:val="0058348C"/>
  </w:style>
  <w:style w:type="paragraph" w:styleId="BalloonText">
    <w:name w:val="Balloon Text"/>
    <w:basedOn w:val="Normal"/>
    <w:link w:val="BalloonTextChar"/>
    <w:uiPriority w:val="99"/>
    <w:unhideWhenUsed/>
    <w:rsid w:val="00C90536"/>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rsid w:val="00C90536"/>
    <w:rPr>
      <w:rFonts w:ascii="Lucida Grande" w:hAnsi="Lucida Grande"/>
      <w:sz w:val="18"/>
      <w:szCs w:val="18"/>
    </w:rPr>
  </w:style>
  <w:style w:type="paragraph" w:customStyle="1" w:styleId="BasicParagraph">
    <w:name w:val="[Basic Paragraph]"/>
    <w:basedOn w:val="Normal"/>
    <w:uiPriority w:val="99"/>
    <w:rsid w:val="001373B5"/>
    <w:pPr>
      <w:widowControl w:val="0"/>
      <w:autoSpaceDE w:val="0"/>
      <w:autoSpaceDN w:val="0"/>
      <w:adjustRightInd w:val="0"/>
      <w:spacing w:after="0" w:line="288" w:lineRule="auto"/>
      <w:textAlignment w:val="center"/>
    </w:pPr>
    <w:rPr>
      <w:rFonts w:ascii="MinionPro-Regular" w:hAnsi="MinionPro-Regular" w:cs="MinionPro-Regular"/>
      <w:color w:val="000000"/>
    </w:rPr>
  </w:style>
  <w:style w:type="table" w:styleId="TableGrid">
    <w:name w:val="Table Grid"/>
    <w:basedOn w:val="TableNormal"/>
    <w:uiPriority w:val="59"/>
    <w:rsid w:val="00E332F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rsid w:val="00011E15"/>
    <w:pPr>
      <w:spacing w:after="0"/>
    </w:pPr>
    <w:rPr>
      <w:rFonts w:eastAsiaTheme="minorEastAsia"/>
      <w:sz w:val="22"/>
      <w:szCs w:val="22"/>
      <w:lang w:val="en-US" w:eastAsia="zh-CN"/>
    </w:rPr>
  </w:style>
  <w:style w:type="character" w:customStyle="1" w:styleId="NoSpacingChar">
    <w:name w:val="No Spacing Char"/>
    <w:basedOn w:val="DefaultParagraphFont"/>
    <w:link w:val="NoSpacing"/>
    <w:uiPriority w:val="1"/>
    <w:rsid w:val="00011E15"/>
    <w:rPr>
      <w:rFonts w:eastAsiaTheme="minorEastAsia"/>
      <w:sz w:val="22"/>
      <w:szCs w:val="22"/>
      <w:lang w:val="en-US" w:eastAsia="zh-CN"/>
    </w:rPr>
  </w:style>
  <w:style w:type="paragraph" w:styleId="ListParagraph">
    <w:name w:val="List Paragraph"/>
    <w:basedOn w:val="Normal"/>
    <w:uiPriority w:val="34"/>
    <w:qFormat/>
    <w:rsid w:val="001A074B"/>
    <w:pPr>
      <w:numPr>
        <w:numId w:val="1"/>
      </w:numPr>
      <w:ind w:left="284" w:hanging="284"/>
      <w:contextualSpacing/>
    </w:pPr>
  </w:style>
  <w:style w:type="character" w:customStyle="1" w:styleId="Heading1Char">
    <w:name w:val="Heading 1 Char"/>
    <w:basedOn w:val="DefaultParagraphFont"/>
    <w:link w:val="Heading1"/>
    <w:uiPriority w:val="9"/>
    <w:rsid w:val="005D7BE1"/>
    <w:rPr>
      <w:rFonts w:ascii="Arial" w:hAnsi="Arial" w:cs="Arial"/>
      <w:b/>
      <w:color w:val="6CC24A"/>
      <w:sz w:val="48"/>
      <w:szCs w:val="48"/>
    </w:rPr>
  </w:style>
  <w:style w:type="character" w:customStyle="1" w:styleId="Heading2Char">
    <w:name w:val="Heading 2 Char"/>
    <w:basedOn w:val="DefaultParagraphFont"/>
    <w:link w:val="Heading2"/>
    <w:uiPriority w:val="9"/>
    <w:rsid w:val="005D7BE1"/>
    <w:rPr>
      <w:rFonts w:ascii="Arial" w:hAnsi="Arial" w:cs="Arial"/>
      <w:b/>
      <w:color w:val="6CC24A"/>
      <w:sz w:val="32"/>
      <w:szCs w:val="32"/>
    </w:rPr>
  </w:style>
  <w:style w:type="character" w:customStyle="1" w:styleId="Heading3Char">
    <w:name w:val="Heading 3 Char"/>
    <w:basedOn w:val="DefaultParagraphFont"/>
    <w:link w:val="Heading3"/>
    <w:uiPriority w:val="9"/>
    <w:rsid w:val="00120CC0"/>
    <w:rPr>
      <w:rFonts w:ascii="Arial" w:hAnsi="Arial" w:cs="Arial"/>
      <w:color w:val="522C6D" w:themeColor="accent1"/>
      <w:sz w:val="28"/>
      <w:szCs w:val="32"/>
    </w:rPr>
  </w:style>
  <w:style w:type="character" w:styleId="Emphasis">
    <w:name w:val="Emphasis"/>
    <w:basedOn w:val="DefaultParagraphFont"/>
    <w:uiPriority w:val="20"/>
    <w:rsid w:val="00431A2A"/>
    <w:rPr>
      <w:i/>
      <w:iCs/>
    </w:rPr>
  </w:style>
  <w:style w:type="paragraph" w:customStyle="1" w:styleId="TSACaption">
    <w:name w:val="TSA Caption"/>
    <w:basedOn w:val="Normal"/>
    <w:qFormat/>
    <w:rsid w:val="00DE238D"/>
    <w:rPr>
      <w:i/>
      <w:noProof/>
      <w:color w:val="575756" w:themeColor="background2"/>
      <w:sz w:val="21"/>
      <w:szCs w:val="21"/>
    </w:rPr>
  </w:style>
  <w:style w:type="table" w:styleId="GridTable2-Accent1">
    <w:name w:val="Grid Table 2 Accent 1"/>
    <w:basedOn w:val="TableNormal"/>
    <w:uiPriority w:val="47"/>
    <w:rsid w:val="00281020"/>
    <w:pPr>
      <w:spacing w:after="0"/>
    </w:pPr>
    <w:tblPr>
      <w:tblStyleRowBandSize w:val="1"/>
      <w:tblStyleColBandSize w:val="1"/>
      <w:tblBorders>
        <w:top w:val="single" w:sz="2" w:space="0" w:color="9B66C1" w:themeColor="accent1" w:themeTint="99"/>
        <w:bottom w:val="single" w:sz="2" w:space="0" w:color="9B66C1" w:themeColor="accent1" w:themeTint="99"/>
        <w:insideH w:val="single" w:sz="2" w:space="0" w:color="9B66C1" w:themeColor="accent1" w:themeTint="99"/>
        <w:insideV w:val="single" w:sz="2" w:space="0" w:color="9B66C1" w:themeColor="accent1" w:themeTint="99"/>
      </w:tblBorders>
    </w:tblPr>
    <w:tblStylePr w:type="firstRow">
      <w:rPr>
        <w:b/>
        <w:bCs/>
      </w:rPr>
      <w:tblPr/>
      <w:tcPr>
        <w:tcBorders>
          <w:top w:val="nil"/>
          <w:bottom w:val="single" w:sz="12" w:space="0" w:color="9B66C1" w:themeColor="accent1" w:themeTint="99"/>
          <w:insideH w:val="nil"/>
          <w:insideV w:val="nil"/>
        </w:tcBorders>
        <w:shd w:val="clear" w:color="auto" w:fill="000000" w:themeFill="background1"/>
      </w:tcPr>
    </w:tblStylePr>
    <w:tblStylePr w:type="lastRow">
      <w:rPr>
        <w:b/>
        <w:bCs/>
      </w:rPr>
      <w:tblPr/>
      <w:tcPr>
        <w:tcBorders>
          <w:top w:val="double" w:sz="2" w:space="0" w:color="9B66C1" w:themeColor="accent1" w:themeTint="99"/>
          <w:bottom w:val="nil"/>
          <w:insideH w:val="nil"/>
          <w:insideV w:val="nil"/>
        </w:tcBorders>
        <w:shd w:val="clear" w:color="auto" w:fill="000000" w:themeFill="background1"/>
      </w:tcPr>
    </w:tblStylePr>
    <w:tblStylePr w:type="firstCol">
      <w:rPr>
        <w:b/>
        <w:bCs/>
      </w:rPr>
    </w:tblStylePr>
    <w:tblStylePr w:type="lastCol">
      <w:rPr>
        <w:b/>
        <w:bCs/>
      </w:rPr>
    </w:tblStylePr>
    <w:tblStylePr w:type="band1Vert">
      <w:tblPr/>
      <w:tcPr>
        <w:shd w:val="clear" w:color="auto" w:fill="DDCBEA" w:themeFill="accent1" w:themeFillTint="33"/>
      </w:tcPr>
    </w:tblStylePr>
    <w:tblStylePr w:type="band1Horz">
      <w:tblPr/>
      <w:tcPr>
        <w:shd w:val="clear" w:color="auto" w:fill="DDCBEA" w:themeFill="accent1" w:themeFillTint="33"/>
      </w:tcPr>
    </w:tblStylePr>
  </w:style>
  <w:style w:type="table" w:styleId="GridTable1Light-Accent1">
    <w:name w:val="Grid Table 1 Light Accent 1"/>
    <w:basedOn w:val="TableNormal"/>
    <w:uiPriority w:val="46"/>
    <w:rsid w:val="00281020"/>
    <w:pPr>
      <w:spacing w:after="0"/>
    </w:pPr>
    <w:tblPr>
      <w:tblStyleRowBandSize w:val="1"/>
      <w:tblStyleColBandSize w:val="1"/>
      <w:tblBorders>
        <w:top w:val="single" w:sz="4" w:space="0" w:color="BC99D6" w:themeColor="accent1" w:themeTint="66"/>
        <w:left w:val="single" w:sz="4" w:space="0" w:color="BC99D6" w:themeColor="accent1" w:themeTint="66"/>
        <w:bottom w:val="single" w:sz="4" w:space="0" w:color="BC99D6" w:themeColor="accent1" w:themeTint="66"/>
        <w:right w:val="single" w:sz="4" w:space="0" w:color="BC99D6" w:themeColor="accent1" w:themeTint="66"/>
        <w:insideH w:val="single" w:sz="4" w:space="0" w:color="BC99D6" w:themeColor="accent1" w:themeTint="66"/>
        <w:insideV w:val="single" w:sz="4" w:space="0" w:color="BC99D6" w:themeColor="accent1" w:themeTint="66"/>
      </w:tblBorders>
    </w:tblPr>
    <w:tblStylePr w:type="firstRow">
      <w:rPr>
        <w:b/>
        <w:bCs/>
      </w:rPr>
      <w:tblPr/>
      <w:tcPr>
        <w:tcBorders>
          <w:bottom w:val="single" w:sz="12" w:space="0" w:color="9B66C1" w:themeColor="accent1" w:themeTint="99"/>
        </w:tcBorders>
      </w:tcPr>
    </w:tblStylePr>
    <w:tblStylePr w:type="lastRow">
      <w:rPr>
        <w:b/>
        <w:bCs/>
      </w:rPr>
      <w:tblPr/>
      <w:tcPr>
        <w:tcBorders>
          <w:top w:val="double" w:sz="2" w:space="0" w:color="9B66C1"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D4759"/>
    <w:pPr>
      <w:spacing w:after="0"/>
    </w:pPr>
    <w:tblPr>
      <w:tblStyleRowBandSize w:val="1"/>
      <w:tblStyleColBandSize w:val="1"/>
      <w:tblBorders>
        <w:top w:val="single" w:sz="4" w:space="0" w:color="FFE8AA" w:themeColor="accent5" w:themeTint="66"/>
        <w:left w:val="single" w:sz="4" w:space="0" w:color="FFE8AA" w:themeColor="accent5" w:themeTint="66"/>
        <w:bottom w:val="single" w:sz="4" w:space="0" w:color="FFE8AA" w:themeColor="accent5" w:themeTint="66"/>
        <w:right w:val="single" w:sz="4" w:space="0" w:color="FFE8AA" w:themeColor="accent5" w:themeTint="66"/>
        <w:insideH w:val="single" w:sz="4" w:space="0" w:color="FFE8AA" w:themeColor="accent5" w:themeTint="66"/>
        <w:insideV w:val="single" w:sz="4" w:space="0" w:color="FFE8AA" w:themeColor="accent5" w:themeTint="66"/>
      </w:tblBorders>
    </w:tblPr>
    <w:tblStylePr w:type="firstRow">
      <w:rPr>
        <w:b/>
        <w:bCs/>
      </w:rPr>
      <w:tblPr/>
      <w:tcPr>
        <w:tcBorders>
          <w:bottom w:val="single" w:sz="12" w:space="0" w:color="FFDD80" w:themeColor="accent5" w:themeTint="99"/>
        </w:tcBorders>
      </w:tcPr>
    </w:tblStylePr>
    <w:tblStylePr w:type="lastRow">
      <w:rPr>
        <w:b/>
        <w:bCs/>
      </w:rPr>
      <w:tblPr/>
      <w:tcPr>
        <w:tcBorders>
          <w:top w:val="double" w:sz="2" w:space="0" w:color="FFDD80" w:themeColor="accent5"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DD4759"/>
    <w:pPr>
      <w:spacing w:after="0"/>
    </w:pPr>
    <w:tblPr>
      <w:tblStyleRowBandSize w:val="1"/>
      <w:tblStyleColBandSize w:val="1"/>
      <w:tblBorders>
        <w:top w:val="single" w:sz="2" w:space="0" w:color="1EFFE4" w:themeColor="accent3" w:themeTint="99"/>
        <w:bottom w:val="single" w:sz="2" w:space="0" w:color="1EFFE4" w:themeColor="accent3" w:themeTint="99"/>
        <w:insideH w:val="single" w:sz="2" w:space="0" w:color="1EFFE4" w:themeColor="accent3" w:themeTint="99"/>
        <w:insideV w:val="single" w:sz="2" w:space="0" w:color="1EFFE4" w:themeColor="accent3" w:themeTint="99"/>
      </w:tblBorders>
    </w:tblPr>
    <w:tblStylePr w:type="firstRow">
      <w:rPr>
        <w:b/>
        <w:bCs/>
      </w:rPr>
      <w:tblPr/>
      <w:tcPr>
        <w:tcBorders>
          <w:top w:val="nil"/>
          <w:bottom w:val="single" w:sz="12" w:space="0" w:color="1EFFE4" w:themeColor="accent3" w:themeTint="99"/>
          <w:insideH w:val="nil"/>
          <w:insideV w:val="nil"/>
        </w:tcBorders>
        <w:shd w:val="clear" w:color="auto" w:fill="000000" w:themeFill="background1"/>
      </w:tcPr>
    </w:tblStylePr>
    <w:tblStylePr w:type="lastRow">
      <w:rPr>
        <w:b/>
        <w:bCs/>
      </w:rPr>
      <w:tblPr/>
      <w:tcPr>
        <w:tcBorders>
          <w:top w:val="double" w:sz="2" w:space="0" w:color="1EFFE4" w:themeColor="accent3" w:themeTint="99"/>
          <w:bottom w:val="nil"/>
          <w:insideH w:val="nil"/>
          <w:insideV w:val="nil"/>
        </w:tcBorders>
        <w:shd w:val="clear" w:color="auto" w:fill="000000" w:themeFill="background1"/>
      </w:tcPr>
    </w:tblStylePr>
    <w:tblStylePr w:type="firstCol">
      <w:rPr>
        <w:b/>
        <w:bCs/>
      </w:rPr>
    </w:tblStylePr>
    <w:tblStylePr w:type="lastCol">
      <w:rPr>
        <w:b/>
        <w:bCs/>
      </w:rPr>
    </w:tblStylePr>
    <w:tblStylePr w:type="band1Vert">
      <w:tblPr/>
      <w:tcPr>
        <w:shd w:val="clear" w:color="auto" w:fill="B4FFF6" w:themeFill="accent3" w:themeFillTint="33"/>
      </w:tcPr>
    </w:tblStylePr>
    <w:tblStylePr w:type="band1Horz">
      <w:tblPr/>
      <w:tcPr>
        <w:shd w:val="clear" w:color="auto" w:fill="B4FFF6" w:themeFill="accent3" w:themeFillTint="33"/>
      </w:tcPr>
    </w:tblStylePr>
  </w:style>
  <w:style w:type="table" w:styleId="GridTable4-Accent1">
    <w:name w:val="Grid Table 4 Accent 1"/>
    <w:basedOn w:val="TableNormal"/>
    <w:uiPriority w:val="49"/>
    <w:rsid w:val="00DD4759"/>
    <w:pPr>
      <w:spacing w:after="0"/>
    </w:pPr>
    <w:tblPr>
      <w:tblStyleRowBandSize w:val="1"/>
      <w:tblStyleColBandSize w:val="1"/>
      <w:tblBorders>
        <w:top w:val="single" w:sz="4" w:space="0" w:color="9B66C1" w:themeColor="accent1" w:themeTint="99"/>
        <w:left w:val="single" w:sz="4" w:space="0" w:color="9B66C1" w:themeColor="accent1" w:themeTint="99"/>
        <w:bottom w:val="single" w:sz="4" w:space="0" w:color="9B66C1" w:themeColor="accent1" w:themeTint="99"/>
        <w:right w:val="single" w:sz="4" w:space="0" w:color="9B66C1" w:themeColor="accent1" w:themeTint="99"/>
        <w:insideH w:val="single" w:sz="4" w:space="0" w:color="9B66C1" w:themeColor="accent1" w:themeTint="99"/>
        <w:insideV w:val="single" w:sz="4" w:space="0" w:color="9B66C1" w:themeColor="accent1" w:themeTint="99"/>
      </w:tblBorders>
    </w:tblPr>
    <w:tblStylePr w:type="firstRow">
      <w:rPr>
        <w:b/>
        <w:bCs/>
        <w:color w:val="000000" w:themeColor="background1"/>
      </w:rPr>
      <w:tblPr/>
      <w:tcPr>
        <w:tcBorders>
          <w:top w:val="single" w:sz="4" w:space="0" w:color="522C6D" w:themeColor="accent1"/>
          <w:left w:val="single" w:sz="4" w:space="0" w:color="522C6D" w:themeColor="accent1"/>
          <w:bottom w:val="single" w:sz="4" w:space="0" w:color="522C6D" w:themeColor="accent1"/>
          <w:right w:val="single" w:sz="4" w:space="0" w:color="522C6D" w:themeColor="accent1"/>
          <w:insideH w:val="nil"/>
          <w:insideV w:val="nil"/>
        </w:tcBorders>
        <w:shd w:val="clear" w:color="auto" w:fill="522C6D" w:themeFill="accent1"/>
      </w:tcPr>
    </w:tblStylePr>
    <w:tblStylePr w:type="lastRow">
      <w:rPr>
        <w:b/>
        <w:bCs/>
      </w:rPr>
      <w:tblPr/>
      <w:tcPr>
        <w:tcBorders>
          <w:top w:val="double" w:sz="4" w:space="0" w:color="522C6D" w:themeColor="accent1"/>
        </w:tcBorders>
      </w:tcPr>
    </w:tblStylePr>
    <w:tblStylePr w:type="firstCol">
      <w:rPr>
        <w:b/>
        <w:bCs/>
      </w:rPr>
    </w:tblStylePr>
    <w:tblStylePr w:type="lastCol">
      <w:rPr>
        <w:b/>
        <w:bCs/>
      </w:rPr>
    </w:tblStylePr>
    <w:tblStylePr w:type="band1Vert">
      <w:tblPr/>
      <w:tcPr>
        <w:shd w:val="clear" w:color="auto" w:fill="DDCBEA" w:themeFill="accent1" w:themeFillTint="33"/>
      </w:tcPr>
    </w:tblStylePr>
    <w:tblStylePr w:type="band1Horz">
      <w:tblPr/>
      <w:tcPr>
        <w:shd w:val="clear" w:color="auto" w:fill="DDCBEA" w:themeFill="accent1" w:themeFillTint="33"/>
      </w:tcPr>
    </w:tblStylePr>
  </w:style>
  <w:style w:type="table" w:styleId="GridTable4-Accent3">
    <w:name w:val="Grid Table 4 Accent 3"/>
    <w:basedOn w:val="TableNormal"/>
    <w:uiPriority w:val="49"/>
    <w:rsid w:val="00DD4759"/>
    <w:pPr>
      <w:spacing w:after="0"/>
    </w:pPr>
    <w:tblPr>
      <w:tblStyleRowBandSize w:val="1"/>
      <w:tblStyleColBandSize w:val="1"/>
      <w:tblBorders>
        <w:top w:val="single" w:sz="4" w:space="0" w:color="1EFFE4" w:themeColor="accent3" w:themeTint="99"/>
        <w:left w:val="single" w:sz="4" w:space="0" w:color="1EFFE4" w:themeColor="accent3" w:themeTint="99"/>
        <w:bottom w:val="single" w:sz="4" w:space="0" w:color="1EFFE4" w:themeColor="accent3" w:themeTint="99"/>
        <w:right w:val="single" w:sz="4" w:space="0" w:color="1EFFE4" w:themeColor="accent3" w:themeTint="99"/>
        <w:insideH w:val="single" w:sz="4" w:space="0" w:color="1EFFE4" w:themeColor="accent3" w:themeTint="99"/>
        <w:insideV w:val="single" w:sz="4" w:space="0" w:color="1EFFE4" w:themeColor="accent3" w:themeTint="99"/>
      </w:tblBorders>
    </w:tblPr>
    <w:tblStylePr w:type="firstRow">
      <w:rPr>
        <w:b/>
        <w:bCs/>
        <w:color w:val="000000" w:themeColor="background1"/>
      </w:rPr>
      <w:tblPr/>
      <w:tcPr>
        <w:tcBorders>
          <w:top w:val="single" w:sz="4" w:space="0" w:color="008878" w:themeColor="accent3"/>
          <w:left w:val="single" w:sz="4" w:space="0" w:color="008878" w:themeColor="accent3"/>
          <w:bottom w:val="single" w:sz="4" w:space="0" w:color="008878" w:themeColor="accent3"/>
          <w:right w:val="single" w:sz="4" w:space="0" w:color="008878" w:themeColor="accent3"/>
          <w:insideH w:val="nil"/>
          <w:insideV w:val="nil"/>
        </w:tcBorders>
        <w:shd w:val="clear" w:color="auto" w:fill="008878" w:themeFill="accent3"/>
      </w:tcPr>
    </w:tblStylePr>
    <w:tblStylePr w:type="lastRow">
      <w:rPr>
        <w:b/>
        <w:bCs/>
      </w:rPr>
      <w:tblPr/>
      <w:tcPr>
        <w:tcBorders>
          <w:top w:val="double" w:sz="4" w:space="0" w:color="008878" w:themeColor="accent3"/>
        </w:tcBorders>
      </w:tcPr>
    </w:tblStylePr>
    <w:tblStylePr w:type="firstCol">
      <w:rPr>
        <w:b/>
        <w:bCs/>
      </w:rPr>
    </w:tblStylePr>
    <w:tblStylePr w:type="lastCol">
      <w:rPr>
        <w:b/>
        <w:bCs/>
      </w:rPr>
    </w:tblStylePr>
    <w:tblStylePr w:type="band1Vert">
      <w:tblPr/>
      <w:tcPr>
        <w:shd w:val="clear" w:color="auto" w:fill="B4FFF6" w:themeFill="accent3" w:themeFillTint="33"/>
      </w:tcPr>
    </w:tblStylePr>
    <w:tblStylePr w:type="band1Horz">
      <w:tblPr/>
      <w:tcPr>
        <w:shd w:val="clear" w:color="auto" w:fill="B4FFF6" w:themeFill="accent3" w:themeFillTint="33"/>
      </w:tcPr>
    </w:tblStylePr>
  </w:style>
  <w:style w:type="table" w:styleId="GridTable4-Accent6">
    <w:name w:val="Grid Table 4 Accent 6"/>
    <w:basedOn w:val="TableNormal"/>
    <w:uiPriority w:val="49"/>
    <w:rsid w:val="00DD4759"/>
    <w:pPr>
      <w:spacing w:after="0"/>
    </w:pPr>
    <w:tblPr>
      <w:tblStyleRowBandSize w:val="1"/>
      <w:tblStyleColBandSize w:val="1"/>
      <w:tblBorders>
        <w:top w:val="single" w:sz="4" w:space="0" w:color="307CFF" w:themeColor="accent6" w:themeTint="99"/>
        <w:left w:val="single" w:sz="4" w:space="0" w:color="307CFF" w:themeColor="accent6" w:themeTint="99"/>
        <w:bottom w:val="single" w:sz="4" w:space="0" w:color="307CFF" w:themeColor="accent6" w:themeTint="99"/>
        <w:right w:val="single" w:sz="4" w:space="0" w:color="307CFF" w:themeColor="accent6" w:themeTint="99"/>
        <w:insideH w:val="single" w:sz="4" w:space="0" w:color="307CFF" w:themeColor="accent6" w:themeTint="99"/>
        <w:insideV w:val="single" w:sz="4" w:space="0" w:color="307CFF" w:themeColor="accent6" w:themeTint="99"/>
      </w:tblBorders>
    </w:tblPr>
    <w:tblStylePr w:type="firstRow">
      <w:rPr>
        <w:b/>
        <w:bCs/>
        <w:color w:val="000000" w:themeColor="background1"/>
      </w:rPr>
      <w:tblPr/>
      <w:tcPr>
        <w:tcBorders>
          <w:top w:val="single" w:sz="4" w:space="0" w:color="003DA5" w:themeColor="accent6"/>
          <w:left w:val="single" w:sz="4" w:space="0" w:color="003DA5" w:themeColor="accent6"/>
          <w:bottom w:val="single" w:sz="4" w:space="0" w:color="003DA5" w:themeColor="accent6"/>
          <w:right w:val="single" w:sz="4" w:space="0" w:color="003DA5" w:themeColor="accent6"/>
          <w:insideH w:val="nil"/>
          <w:insideV w:val="nil"/>
        </w:tcBorders>
        <w:shd w:val="clear" w:color="auto" w:fill="003DA5" w:themeFill="accent6"/>
      </w:tcPr>
    </w:tblStylePr>
    <w:tblStylePr w:type="lastRow">
      <w:rPr>
        <w:b/>
        <w:bCs/>
      </w:rPr>
      <w:tblPr/>
      <w:tcPr>
        <w:tcBorders>
          <w:top w:val="double" w:sz="4" w:space="0" w:color="003DA5" w:themeColor="accent6"/>
        </w:tcBorders>
      </w:tcPr>
    </w:tblStylePr>
    <w:tblStylePr w:type="firstCol">
      <w:rPr>
        <w:b/>
        <w:bCs/>
      </w:rPr>
    </w:tblStylePr>
    <w:tblStylePr w:type="lastCol">
      <w:rPr>
        <w:b/>
        <w:bCs/>
      </w:rPr>
    </w:tblStylePr>
    <w:tblStylePr w:type="band1Vert">
      <w:tblPr/>
      <w:tcPr>
        <w:shd w:val="clear" w:color="auto" w:fill="BAD3FF" w:themeFill="accent6" w:themeFillTint="33"/>
      </w:tcPr>
    </w:tblStylePr>
    <w:tblStylePr w:type="band1Horz">
      <w:tblPr/>
      <w:tcPr>
        <w:shd w:val="clear" w:color="auto" w:fill="BAD3FF" w:themeFill="accent6" w:themeFillTint="33"/>
      </w:tcPr>
    </w:tblStylePr>
  </w:style>
  <w:style w:type="paragraph" w:customStyle="1" w:styleId="Covertitle">
    <w:name w:val="Cover title"/>
    <w:basedOn w:val="Heading1"/>
    <w:link w:val="CovertitleChar"/>
    <w:qFormat/>
    <w:rsid w:val="0067541C"/>
    <w:pPr>
      <w:jc w:val="center"/>
    </w:pPr>
  </w:style>
  <w:style w:type="character" w:customStyle="1" w:styleId="CovertitleChar">
    <w:name w:val="Cover title Char"/>
    <w:basedOn w:val="Heading1Char"/>
    <w:link w:val="Covertitle"/>
    <w:rsid w:val="0067541C"/>
    <w:rPr>
      <w:rFonts w:ascii="Arial" w:hAnsi="Arial" w:cs="Arial"/>
      <w:b/>
      <w:color w:val="522C6D" w:themeColor="accent1"/>
      <w:sz w:val="48"/>
      <w:szCs w:val="48"/>
    </w:rPr>
  </w:style>
  <w:style w:type="table" w:customStyle="1" w:styleId="Style1">
    <w:name w:val="Style1"/>
    <w:basedOn w:val="TableNormal"/>
    <w:uiPriority w:val="99"/>
    <w:rsid w:val="00435E0B"/>
    <w:pPr>
      <w:spacing w:after="0"/>
    </w:pPr>
    <w:rPr>
      <w:rFonts w:ascii="Arial" w:hAnsi="Arial"/>
    </w:rPr>
    <w:tblPr>
      <w:tblBorders>
        <w:top w:val="single" w:sz="4" w:space="0" w:color="522C6D"/>
        <w:left w:val="single" w:sz="4" w:space="0" w:color="522C6D"/>
        <w:bottom w:val="single" w:sz="4" w:space="0" w:color="522C6D"/>
        <w:right w:val="single" w:sz="4" w:space="0" w:color="522C6D"/>
        <w:insideH w:val="single" w:sz="4" w:space="0" w:color="522C6D"/>
        <w:insideV w:val="single" w:sz="4" w:space="0" w:color="522C6D"/>
      </w:tblBorders>
    </w:tblPr>
  </w:style>
  <w:style w:type="table" w:styleId="GridTable4-Accent5">
    <w:name w:val="Grid Table 4 Accent 5"/>
    <w:basedOn w:val="TableNormal"/>
    <w:uiPriority w:val="49"/>
    <w:rsid w:val="00DE238D"/>
    <w:pPr>
      <w:spacing w:after="0"/>
    </w:pPr>
    <w:tblPr>
      <w:tblStyleRowBandSize w:val="1"/>
      <w:tblStyleColBandSize w:val="1"/>
      <w:tblBorders>
        <w:top w:val="single" w:sz="4" w:space="0" w:color="FFDD80" w:themeColor="accent5" w:themeTint="99"/>
        <w:left w:val="single" w:sz="4" w:space="0" w:color="FFDD80" w:themeColor="accent5" w:themeTint="99"/>
        <w:bottom w:val="single" w:sz="4" w:space="0" w:color="FFDD80" w:themeColor="accent5" w:themeTint="99"/>
        <w:right w:val="single" w:sz="4" w:space="0" w:color="FFDD80" w:themeColor="accent5" w:themeTint="99"/>
        <w:insideH w:val="single" w:sz="4" w:space="0" w:color="FFDD80" w:themeColor="accent5" w:themeTint="99"/>
        <w:insideV w:val="single" w:sz="4" w:space="0" w:color="FFDD80" w:themeColor="accent5" w:themeTint="99"/>
      </w:tblBorders>
    </w:tblPr>
    <w:tblStylePr w:type="firstRow">
      <w:rPr>
        <w:b/>
        <w:bCs/>
        <w:color w:val="000000" w:themeColor="background1"/>
      </w:rPr>
      <w:tblPr/>
      <w:tcPr>
        <w:tcBorders>
          <w:top w:val="single" w:sz="4" w:space="0" w:color="FFC72C" w:themeColor="accent5"/>
          <w:left w:val="single" w:sz="4" w:space="0" w:color="FFC72C" w:themeColor="accent5"/>
          <w:bottom w:val="single" w:sz="4" w:space="0" w:color="FFC72C" w:themeColor="accent5"/>
          <w:right w:val="single" w:sz="4" w:space="0" w:color="FFC72C" w:themeColor="accent5"/>
          <w:insideH w:val="nil"/>
          <w:insideV w:val="nil"/>
        </w:tcBorders>
        <w:shd w:val="clear" w:color="auto" w:fill="FFC72C" w:themeFill="accent5"/>
      </w:tcPr>
    </w:tblStylePr>
    <w:tblStylePr w:type="lastRow">
      <w:rPr>
        <w:b/>
        <w:bCs/>
      </w:rPr>
      <w:tblPr/>
      <w:tcPr>
        <w:tcBorders>
          <w:top w:val="double" w:sz="4" w:space="0" w:color="FFC72C" w:themeColor="accent5"/>
        </w:tcBorders>
      </w:tcPr>
    </w:tblStylePr>
    <w:tblStylePr w:type="firstCol">
      <w:rPr>
        <w:b/>
        <w:bCs/>
      </w:rPr>
    </w:tblStylePr>
    <w:tblStylePr w:type="lastCol">
      <w:rPr>
        <w:b/>
        <w:bCs/>
      </w:rPr>
    </w:tblStylePr>
    <w:tblStylePr w:type="band1Vert">
      <w:tblPr/>
      <w:tcPr>
        <w:shd w:val="clear" w:color="auto" w:fill="FFF3D4" w:themeFill="accent5" w:themeFillTint="33"/>
      </w:tcPr>
    </w:tblStylePr>
    <w:tblStylePr w:type="band1Horz">
      <w:tblPr/>
      <w:tcPr>
        <w:shd w:val="clear" w:color="auto" w:fill="FFF3D4" w:themeFill="accent5" w:themeFillTint="33"/>
      </w:tcPr>
    </w:tblStylePr>
  </w:style>
  <w:style w:type="character" w:styleId="Hyperlink">
    <w:name w:val="Hyperlink"/>
    <w:basedOn w:val="DefaultParagraphFont"/>
    <w:uiPriority w:val="99"/>
    <w:unhideWhenUsed/>
    <w:rsid w:val="00D054CF"/>
    <w:rPr>
      <w:color w:val="575756" w:themeColor="hyperlink"/>
      <w:u w:val="single"/>
    </w:rPr>
  </w:style>
  <w:style w:type="character" w:styleId="UnresolvedMention">
    <w:name w:val="Unresolved Mention"/>
    <w:basedOn w:val="DefaultParagraphFont"/>
    <w:uiPriority w:val="99"/>
    <w:semiHidden/>
    <w:unhideWhenUsed/>
    <w:rsid w:val="00D054CF"/>
    <w:rPr>
      <w:color w:val="605E5C"/>
      <w:shd w:val="clear" w:color="auto" w:fill="E1DFDD"/>
    </w:rPr>
  </w:style>
  <w:style w:type="character" w:styleId="Strong">
    <w:name w:val="Strong"/>
    <w:basedOn w:val="DefaultParagraphFont"/>
    <w:uiPriority w:val="22"/>
    <w:qFormat/>
    <w:rsid w:val="008211D6"/>
    <w:rPr>
      <w:b/>
      <w:bCs/>
    </w:rPr>
  </w:style>
  <w:style w:type="paragraph" w:styleId="NormalWeb">
    <w:name w:val="Normal (Web)"/>
    <w:basedOn w:val="Normal"/>
    <w:uiPriority w:val="99"/>
    <w:semiHidden/>
    <w:unhideWhenUsed/>
    <w:rsid w:val="008211D6"/>
    <w:pPr>
      <w:spacing w:before="100" w:beforeAutospacing="1" w:after="100" w:afterAutospacing="1"/>
    </w:pPr>
    <w:rPr>
      <w:rFonts w:ascii="Times New Roman" w:eastAsia="Times New Roman" w:hAnsi="Times New Roman" w:cs="Times New Roman"/>
      <w:lang w:eastAsia="en-GB"/>
    </w:rPr>
  </w:style>
  <w:style w:type="character" w:customStyle="1" w:styleId="Heading4Char">
    <w:name w:val="Heading 4 Char"/>
    <w:basedOn w:val="DefaultParagraphFont"/>
    <w:link w:val="Heading4"/>
    <w:uiPriority w:val="9"/>
    <w:semiHidden/>
    <w:rsid w:val="005A5886"/>
    <w:rPr>
      <w:rFonts w:asciiTheme="majorHAnsi" w:eastAsiaTheme="majorEastAsia" w:hAnsiTheme="majorHAnsi" w:cstheme="majorBidi"/>
      <w:i/>
      <w:iCs/>
      <w:color w:val="3D2151" w:themeColor="accent1" w:themeShade="BF"/>
    </w:rPr>
  </w:style>
  <w:style w:type="character" w:styleId="CommentReference">
    <w:name w:val="annotation reference"/>
    <w:basedOn w:val="DefaultParagraphFont"/>
    <w:uiPriority w:val="99"/>
    <w:semiHidden/>
    <w:unhideWhenUsed/>
    <w:rsid w:val="008878E6"/>
    <w:rPr>
      <w:sz w:val="16"/>
      <w:szCs w:val="16"/>
    </w:rPr>
  </w:style>
  <w:style w:type="paragraph" w:styleId="CommentText">
    <w:name w:val="annotation text"/>
    <w:basedOn w:val="Normal"/>
    <w:link w:val="CommentTextChar"/>
    <w:uiPriority w:val="99"/>
    <w:semiHidden/>
    <w:unhideWhenUsed/>
    <w:rsid w:val="008878E6"/>
    <w:rPr>
      <w:sz w:val="20"/>
      <w:szCs w:val="20"/>
    </w:rPr>
  </w:style>
  <w:style w:type="character" w:customStyle="1" w:styleId="CommentTextChar">
    <w:name w:val="Comment Text Char"/>
    <w:basedOn w:val="DefaultParagraphFont"/>
    <w:link w:val="CommentText"/>
    <w:uiPriority w:val="99"/>
    <w:semiHidden/>
    <w:rsid w:val="008878E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878E6"/>
    <w:rPr>
      <w:b/>
      <w:bCs/>
    </w:rPr>
  </w:style>
  <w:style w:type="character" w:customStyle="1" w:styleId="CommentSubjectChar">
    <w:name w:val="Comment Subject Char"/>
    <w:basedOn w:val="CommentTextChar"/>
    <w:link w:val="CommentSubject"/>
    <w:uiPriority w:val="99"/>
    <w:semiHidden/>
    <w:rsid w:val="008878E6"/>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458744">
      <w:bodyDiv w:val="1"/>
      <w:marLeft w:val="0"/>
      <w:marRight w:val="0"/>
      <w:marTop w:val="0"/>
      <w:marBottom w:val="0"/>
      <w:divBdr>
        <w:top w:val="none" w:sz="0" w:space="0" w:color="auto"/>
        <w:left w:val="none" w:sz="0" w:space="0" w:color="auto"/>
        <w:bottom w:val="none" w:sz="0" w:space="0" w:color="auto"/>
        <w:right w:val="none" w:sz="0" w:space="0" w:color="auto"/>
      </w:divBdr>
    </w:div>
    <w:div w:id="747657953">
      <w:bodyDiv w:val="1"/>
      <w:marLeft w:val="0"/>
      <w:marRight w:val="0"/>
      <w:marTop w:val="0"/>
      <w:marBottom w:val="0"/>
      <w:divBdr>
        <w:top w:val="none" w:sz="0" w:space="0" w:color="auto"/>
        <w:left w:val="none" w:sz="0" w:space="0" w:color="auto"/>
        <w:bottom w:val="none" w:sz="0" w:space="0" w:color="auto"/>
        <w:right w:val="none" w:sz="0" w:space="0" w:color="auto"/>
      </w:divBdr>
    </w:div>
    <w:div w:id="1000624047">
      <w:bodyDiv w:val="1"/>
      <w:marLeft w:val="0"/>
      <w:marRight w:val="0"/>
      <w:marTop w:val="0"/>
      <w:marBottom w:val="0"/>
      <w:divBdr>
        <w:top w:val="none" w:sz="0" w:space="0" w:color="auto"/>
        <w:left w:val="none" w:sz="0" w:space="0" w:color="auto"/>
        <w:bottom w:val="none" w:sz="0" w:space="0" w:color="auto"/>
        <w:right w:val="none" w:sz="0" w:space="0" w:color="auto"/>
      </w:divBdr>
    </w:div>
    <w:div w:id="1346060368">
      <w:bodyDiv w:val="1"/>
      <w:marLeft w:val="0"/>
      <w:marRight w:val="0"/>
      <w:marTop w:val="0"/>
      <w:marBottom w:val="0"/>
      <w:divBdr>
        <w:top w:val="none" w:sz="0" w:space="0" w:color="auto"/>
        <w:left w:val="none" w:sz="0" w:space="0" w:color="auto"/>
        <w:bottom w:val="none" w:sz="0" w:space="0" w:color="auto"/>
        <w:right w:val="none" w:sz="0" w:space="0" w:color="auto"/>
      </w:divBdr>
    </w:div>
    <w:div w:id="16680522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google.co.uk/url?sa=i&amp;rct=j&amp;q=&amp;esrc=s&amp;source=images&amp;cd=&amp;ved=2ahUKEwjLkp-c98XiAhU5DWMBHZTDBooQjRx6BAgBEAU&amp;url=https://www.researchmedia.com/amrc/making-a-difference-impact-report-2017/&amp;psig=AOvVaw24TzfusWZSBPlcTelcEFSh&amp;ust=1559397688149958"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TSA branding guidelines">
      <a:dk1>
        <a:srgbClr val="FFFFFF"/>
      </a:dk1>
      <a:lt1>
        <a:srgbClr val="000000"/>
      </a:lt1>
      <a:dk2>
        <a:srgbClr val="6CC24A"/>
      </a:dk2>
      <a:lt2>
        <a:srgbClr val="575756"/>
      </a:lt2>
      <a:accent1>
        <a:srgbClr val="522C6D"/>
      </a:accent1>
      <a:accent2>
        <a:srgbClr val="A42136"/>
      </a:accent2>
      <a:accent3>
        <a:srgbClr val="008878"/>
      </a:accent3>
      <a:accent4>
        <a:srgbClr val="92C1E9"/>
      </a:accent4>
      <a:accent5>
        <a:srgbClr val="FFC72C"/>
      </a:accent5>
      <a:accent6>
        <a:srgbClr val="003DA5"/>
      </a:accent6>
      <a:hlink>
        <a:srgbClr val="575756"/>
      </a:hlink>
      <a:folHlink>
        <a:srgbClr val="FFFF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37B17-7CA9-4A4C-AC61-DEB488306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961</Words>
  <Characters>5479</Characters>
  <Application>Microsoft Office Word</Application>
  <DocSecurity>2</DocSecurity>
  <Lines>45</Lines>
  <Paragraphs>12</Paragraphs>
  <ScaleCrop>false</ScaleCrop>
  <HeadingPairs>
    <vt:vector size="2" baseType="variant">
      <vt:variant>
        <vt:lpstr>Title</vt:lpstr>
      </vt:variant>
      <vt:variant>
        <vt:i4>1</vt:i4>
      </vt:variant>
    </vt:vector>
  </HeadingPairs>
  <TitlesOfParts>
    <vt:vector size="1" baseType="lpstr">
      <vt:lpstr>Cover Cover title cover title cover title cover cover title cover title</vt:lpstr>
    </vt:vector>
  </TitlesOfParts>
  <Company>jjj</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Cover title cover title cover title cover cover title cover title</dc:title>
  <dc:subject/>
  <dc:creator>jj</dc:creator>
  <cp:keywords/>
  <cp:lastModifiedBy>Luke Langlands</cp:lastModifiedBy>
  <cp:revision>2</cp:revision>
  <cp:lastPrinted>2019-05-23T08:51:00Z</cp:lastPrinted>
  <dcterms:created xsi:type="dcterms:W3CDTF">2022-10-20T09:31:00Z</dcterms:created>
  <dcterms:modified xsi:type="dcterms:W3CDTF">2022-10-20T09:31:00Z</dcterms:modified>
</cp:coreProperties>
</file>